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1"/>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B143F9">
        <w:rPr>
          <w:rFonts w:eastAsia="宋体"/>
          <w:lang w:eastAsia="zh-CN"/>
        </w:rPr>
        <w:t>6</w:t>
      </w:r>
      <w:r w:rsidR="00C8025B">
        <w:rPr>
          <w:rFonts w:eastAsia="宋体"/>
          <w:lang w:eastAsia="zh-CN"/>
        </w:rPr>
        <w:t>-</w:t>
      </w:r>
      <w:r w:rsidR="005F5EFB">
        <w:rPr>
          <w:rFonts w:eastAsia="宋体"/>
          <w:lang w:eastAsia="zh-CN"/>
        </w:rPr>
        <w:t>bis-e</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AF2F37" w:rsidRPr="00AF2F37">
        <w:t>R4-2305565</w:t>
      </w:r>
    </w:p>
    <w:p w:rsidR="00675C27" w:rsidRPr="00444A16" w:rsidRDefault="005F5EFB" w:rsidP="006272FF">
      <w:pPr>
        <w:pStyle w:val="a1"/>
        <w:jc w:val="both"/>
        <w:rPr>
          <w:rFonts w:eastAsia="宋体"/>
          <w:lang w:eastAsia="zh-CN"/>
        </w:rPr>
      </w:pPr>
      <w:r w:rsidRPr="005F5EFB">
        <w:rPr>
          <w:rFonts w:eastAsia="宋体"/>
          <w:lang w:eastAsia="zh-CN"/>
        </w:rPr>
        <w:t>Online, April 17 - April 26, 2023</w:t>
      </w:r>
    </w:p>
    <w:p w:rsidR="00F71A33" w:rsidRPr="00F71A33" w:rsidRDefault="00F71A33" w:rsidP="006272FF">
      <w:pPr>
        <w:pStyle w:val="a1"/>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6197E" w:rsidRPr="0096197E">
        <w:rPr>
          <w:rFonts w:ascii="Arial" w:hAnsi="Arial" w:cs="Arial"/>
          <w:sz w:val="22"/>
        </w:rPr>
        <w:t>On UE RF requirements for FWA UE supporting 3T for two bands</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0C0549" w:rsidRPr="000C0549">
        <w:rPr>
          <w:rFonts w:ascii="Arial" w:hAnsi="Arial" w:cs="Arial"/>
          <w:sz w:val="22"/>
        </w:rPr>
        <w:t>4.29.3.2</w:t>
      </w:r>
      <w:bookmarkStart w:id="2" w:name="_GoBack"/>
      <w:bookmarkEnd w:id="2"/>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6272FF">
      <w:pPr>
        <w:pStyle w:val="Heading1"/>
        <w:spacing w:after="240"/>
        <w:jc w:val="both"/>
        <w:rPr>
          <w:rFonts w:eastAsia="宋体"/>
          <w:lang w:eastAsia="zh-CN"/>
        </w:rPr>
      </w:pPr>
      <w:r>
        <w:rPr>
          <w:rFonts w:eastAsia="宋体" w:hint="eastAsia"/>
          <w:lang w:eastAsia="zh-CN"/>
        </w:rPr>
        <w:t>Introduction</w:t>
      </w:r>
    </w:p>
    <w:p w:rsidR="00F65DFE" w:rsidRDefault="00F65DFE" w:rsidP="006272FF">
      <w:pPr>
        <w:jc w:val="both"/>
        <w:rPr>
          <w:lang w:val="x-none"/>
        </w:rPr>
      </w:pPr>
      <w:r>
        <w:rPr>
          <w:rFonts w:hint="eastAsia"/>
          <w:lang w:val="x-none"/>
        </w:rPr>
        <w:t>D</w:t>
      </w:r>
      <w:r>
        <w:rPr>
          <w:lang w:val="x-none"/>
        </w:rPr>
        <w:t>iscussion for 3Tx with two bands was kicked off in last RAN4 meeting</w:t>
      </w:r>
      <w:r w:rsidR="006813BB">
        <w:rPr>
          <w:lang w:val="x-none"/>
        </w:rPr>
        <w:t xml:space="preserve">. Issues identified during the discussion were recorded in WF [1]. </w:t>
      </w:r>
    </w:p>
    <w:p w:rsidR="009A089A" w:rsidRDefault="00B9629D" w:rsidP="006272FF">
      <w:pPr>
        <w:jc w:val="both"/>
      </w:pPr>
      <w:r>
        <w:rPr>
          <w:lang w:val="x-none"/>
        </w:rPr>
        <w:t xml:space="preserve">This contribution provides </w:t>
      </w:r>
      <w:r w:rsidR="00A750D9">
        <w:rPr>
          <w:lang w:val="x-none"/>
        </w:rPr>
        <w:t xml:space="preserve">analysis </w:t>
      </w:r>
      <w:r w:rsidR="0056587B">
        <w:rPr>
          <w:lang w:val="x-none"/>
        </w:rPr>
        <w:t>for some of the issues</w:t>
      </w:r>
      <w:r>
        <w:rPr>
          <w:lang w:val="x-none"/>
        </w:rPr>
        <w:t>.</w:t>
      </w:r>
    </w:p>
    <w:p w:rsidR="00062E8E" w:rsidRDefault="00062E8E" w:rsidP="006272FF">
      <w:pPr>
        <w:pStyle w:val="Heading1"/>
        <w:spacing w:after="240"/>
        <w:jc w:val="both"/>
        <w:rPr>
          <w:rFonts w:eastAsia="宋体"/>
          <w:lang w:eastAsia="zh-CN"/>
        </w:rPr>
      </w:pPr>
      <w:r>
        <w:rPr>
          <w:rFonts w:eastAsia="宋体" w:hint="eastAsia"/>
          <w:lang w:eastAsia="zh-CN"/>
        </w:rPr>
        <w:t>Discussion</w:t>
      </w:r>
    </w:p>
    <w:p w:rsidR="005369EE" w:rsidRPr="00E001B4" w:rsidRDefault="0056587B" w:rsidP="00E001B4">
      <w:pPr>
        <w:pStyle w:val="Heading2"/>
        <w:tabs>
          <w:tab w:val="clear" w:pos="681"/>
          <w:tab w:val="num" w:pos="397"/>
        </w:tabs>
        <w:spacing w:after="240"/>
        <w:ind w:left="0"/>
        <w:rPr>
          <w:rFonts w:eastAsiaTheme="minorEastAsia"/>
          <w:lang w:val="en-US" w:eastAsia="zh-CN"/>
        </w:rPr>
      </w:pPr>
      <w:r w:rsidRPr="00E001B4">
        <w:rPr>
          <w:rFonts w:eastAsiaTheme="minorEastAsia" w:hint="eastAsia"/>
          <w:lang w:val="en-US" w:eastAsia="zh-CN"/>
        </w:rPr>
        <w:t>M</w:t>
      </w:r>
      <w:r w:rsidRPr="00E001B4">
        <w:rPr>
          <w:rFonts w:eastAsiaTheme="minorEastAsia"/>
          <w:lang w:val="en-US" w:eastAsia="zh-CN"/>
        </w:rPr>
        <w:t xml:space="preserve">SD consideration for 3T vs 2T </w:t>
      </w:r>
    </w:p>
    <w:p w:rsidR="005369EE" w:rsidRDefault="00EB6E5B" w:rsidP="006272FF">
      <w:pPr>
        <w:jc w:val="both"/>
        <w:rPr>
          <w:lang w:val="en-US"/>
        </w:rPr>
      </w:pPr>
      <w:r>
        <w:rPr>
          <w:rFonts w:hint="eastAsia"/>
          <w:lang w:val="en-US"/>
        </w:rPr>
        <w:t>W</w:t>
      </w:r>
      <w:r>
        <w:rPr>
          <w:lang w:val="en-US"/>
        </w:rPr>
        <w:t xml:space="preserve">hether MSD should be re-evaluated, there were two options discussed in last meeting. </w:t>
      </w:r>
    </w:p>
    <w:p w:rsidR="00EB6E5B" w:rsidRPr="00EB6E5B" w:rsidRDefault="00EB6E5B" w:rsidP="00914773">
      <w:pPr>
        <w:pStyle w:val="ListParagraph"/>
        <w:numPr>
          <w:ilvl w:val="0"/>
          <w:numId w:val="10"/>
        </w:numPr>
        <w:ind w:firstLineChars="0"/>
        <w:rPr>
          <w:rFonts w:ascii="Times New Roman" w:hAnsi="Times New Roman"/>
          <w:sz w:val="20"/>
        </w:rPr>
      </w:pPr>
      <w:r w:rsidRPr="00EB6E5B">
        <w:rPr>
          <w:rFonts w:ascii="Times New Roman" w:hAnsi="Times New Roman"/>
          <w:sz w:val="20"/>
        </w:rPr>
        <w:t>Option 1: Evaluate whether existing MSD for 2 Tx is also applicable for 3Tx for the same band combination. No need to perform case by case study for such evaluation.</w:t>
      </w:r>
    </w:p>
    <w:p w:rsidR="00EB6E5B" w:rsidRPr="00EB6E5B" w:rsidRDefault="00EB6E5B" w:rsidP="00914773">
      <w:pPr>
        <w:pStyle w:val="ListParagraph"/>
        <w:numPr>
          <w:ilvl w:val="0"/>
          <w:numId w:val="10"/>
        </w:numPr>
        <w:spacing w:afterLines="50" w:after="120"/>
        <w:ind w:firstLineChars="0"/>
        <w:rPr>
          <w:rFonts w:ascii="Times New Roman" w:hAnsi="Times New Roman"/>
          <w:sz w:val="20"/>
          <w:lang w:eastAsia="zh-CN"/>
        </w:rPr>
      </w:pPr>
      <w:r w:rsidRPr="00EB6E5B">
        <w:rPr>
          <w:rFonts w:ascii="Times New Roman" w:hAnsi="Times New Roman"/>
          <w:sz w:val="20"/>
        </w:rPr>
        <w:t>Option 2: MSD evaluation for the bands in the WID is as below table</w:t>
      </w:r>
    </w:p>
    <w:tbl>
      <w:tblPr>
        <w:tblStyle w:val="TableGrid"/>
        <w:tblW w:w="0" w:type="auto"/>
        <w:jc w:val="center"/>
        <w:tblLook w:val="04A0" w:firstRow="1" w:lastRow="0" w:firstColumn="1" w:lastColumn="0" w:noHBand="0" w:noVBand="1"/>
      </w:tblPr>
      <w:tblGrid>
        <w:gridCol w:w="1696"/>
        <w:gridCol w:w="6521"/>
      </w:tblGrid>
      <w:tr w:rsidR="0056587B" w:rsidRPr="00A500B1" w:rsidTr="003A62A3">
        <w:trPr>
          <w:trHeight w:val="359"/>
          <w:jc w:val="center"/>
        </w:trPr>
        <w:tc>
          <w:tcPr>
            <w:tcW w:w="1696" w:type="dxa"/>
          </w:tcPr>
          <w:p w:rsidR="0056587B" w:rsidRPr="0056587B" w:rsidRDefault="0056587B" w:rsidP="003A62A3">
            <w:pPr>
              <w:spacing w:after="120"/>
              <w:rPr>
                <w:rFonts w:eastAsiaTheme="minorEastAsia"/>
                <w:color w:val="000000" w:themeColor="text1"/>
                <w:sz w:val="18"/>
                <w:szCs w:val="24"/>
              </w:rPr>
            </w:pPr>
            <w:r w:rsidRPr="0056587B">
              <w:rPr>
                <w:rFonts w:eastAsiaTheme="minorEastAsia"/>
                <w:color w:val="000000" w:themeColor="text1"/>
                <w:sz w:val="18"/>
                <w:szCs w:val="24"/>
              </w:rPr>
              <w:t>Band combination in WID</w:t>
            </w:r>
          </w:p>
        </w:tc>
        <w:tc>
          <w:tcPr>
            <w:tcW w:w="6521" w:type="dxa"/>
          </w:tcPr>
          <w:p w:rsidR="0056587B" w:rsidRPr="0056587B" w:rsidRDefault="0056587B" w:rsidP="003A62A3">
            <w:pPr>
              <w:spacing w:after="120"/>
              <w:rPr>
                <w:rFonts w:eastAsiaTheme="minorEastAsia"/>
                <w:color w:val="000000" w:themeColor="text1"/>
                <w:sz w:val="18"/>
                <w:szCs w:val="24"/>
              </w:rPr>
            </w:pPr>
            <w:r w:rsidRPr="0056587B">
              <w:rPr>
                <w:rFonts w:eastAsiaTheme="minorEastAsia" w:hint="eastAsia"/>
                <w:color w:val="000000" w:themeColor="text1"/>
                <w:sz w:val="18"/>
                <w:szCs w:val="24"/>
              </w:rPr>
              <w:t>M</w:t>
            </w:r>
            <w:r w:rsidRPr="0056587B">
              <w:rPr>
                <w:rFonts w:eastAsiaTheme="minorEastAsia"/>
                <w:color w:val="000000" w:themeColor="text1"/>
                <w:sz w:val="18"/>
                <w:szCs w:val="24"/>
              </w:rPr>
              <w:t>SD evaluation status</w:t>
            </w:r>
          </w:p>
        </w:tc>
      </w:tr>
      <w:tr w:rsidR="0056587B" w:rsidRPr="00A500B1" w:rsidTr="003A62A3">
        <w:trPr>
          <w:trHeight w:val="197"/>
          <w:jc w:val="center"/>
        </w:trPr>
        <w:tc>
          <w:tcPr>
            <w:tcW w:w="1696" w:type="dxa"/>
          </w:tcPr>
          <w:p w:rsidR="0056587B" w:rsidRPr="0056587B" w:rsidRDefault="0056587B" w:rsidP="003A62A3">
            <w:pPr>
              <w:spacing w:after="0"/>
              <w:rPr>
                <w:color w:val="000000" w:themeColor="text1"/>
                <w:sz w:val="18"/>
                <w:szCs w:val="24"/>
              </w:rPr>
            </w:pPr>
            <w:r w:rsidRPr="0056587B">
              <w:rPr>
                <w:color w:val="000000" w:themeColor="text1"/>
                <w:sz w:val="18"/>
              </w:rPr>
              <w:t>CA_n28A-n41A</w:t>
            </w:r>
          </w:p>
        </w:tc>
        <w:tc>
          <w:tcPr>
            <w:tcW w:w="6521" w:type="dxa"/>
          </w:tcPr>
          <w:p w:rsidR="0056587B" w:rsidRPr="0056587B" w:rsidRDefault="0056587B" w:rsidP="003A62A3">
            <w:pPr>
              <w:spacing w:after="0"/>
              <w:rPr>
                <w:color w:val="000000" w:themeColor="text1"/>
                <w:sz w:val="18"/>
                <w:szCs w:val="24"/>
              </w:rPr>
            </w:pPr>
            <w:r w:rsidRPr="0056587B">
              <w:rPr>
                <w:color w:val="000000" w:themeColor="text1"/>
                <w:sz w:val="18"/>
              </w:rPr>
              <w:t>- No new MSD will be defined</w:t>
            </w:r>
          </w:p>
        </w:tc>
      </w:tr>
      <w:tr w:rsidR="0056587B" w:rsidRPr="00A500B1" w:rsidTr="003A62A3">
        <w:trPr>
          <w:trHeight w:val="552"/>
          <w:jc w:val="center"/>
        </w:trPr>
        <w:tc>
          <w:tcPr>
            <w:tcW w:w="1696" w:type="dxa"/>
          </w:tcPr>
          <w:p w:rsidR="0056587B" w:rsidRPr="0056587B" w:rsidRDefault="0056587B" w:rsidP="003A62A3">
            <w:pPr>
              <w:spacing w:after="0"/>
              <w:rPr>
                <w:color w:val="000000" w:themeColor="text1"/>
                <w:sz w:val="18"/>
                <w:szCs w:val="24"/>
              </w:rPr>
            </w:pPr>
            <w:r w:rsidRPr="0056587B">
              <w:rPr>
                <w:color w:val="000000" w:themeColor="text1"/>
                <w:sz w:val="18"/>
              </w:rPr>
              <w:t>CA_n28A-n78A</w:t>
            </w:r>
          </w:p>
        </w:tc>
        <w:tc>
          <w:tcPr>
            <w:tcW w:w="6521" w:type="dxa"/>
          </w:tcPr>
          <w:p w:rsidR="0056587B" w:rsidRPr="0056587B" w:rsidRDefault="0056587B" w:rsidP="003A62A3">
            <w:pPr>
              <w:spacing w:after="0"/>
              <w:rPr>
                <w:color w:val="000000" w:themeColor="text1"/>
                <w:sz w:val="18"/>
              </w:rPr>
            </w:pPr>
            <w:r w:rsidRPr="0056587B">
              <w:rPr>
                <w:color w:val="000000" w:themeColor="text1"/>
                <w:sz w:val="18"/>
              </w:rPr>
              <w:t>- No new harmonic MSD will be defined</w:t>
            </w:r>
          </w:p>
          <w:p w:rsidR="0056587B" w:rsidRPr="0056587B" w:rsidRDefault="0056587B" w:rsidP="003A62A3">
            <w:pPr>
              <w:spacing w:after="0"/>
              <w:rPr>
                <w:color w:val="000000" w:themeColor="text1"/>
                <w:sz w:val="18"/>
              </w:rPr>
            </w:pPr>
            <w:r w:rsidRPr="0056587B">
              <w:rPr>
                <w:color w:val="000000" w:themeColor="text1"/>
                <w:sz w:val="18"/>
              </w:rPr>
              <w:t xml:space="preserve">- </w:t>
            </w:r>
            <w:r w:rsidRPr="0056587B">
              <w:rPr>
                <w:rFonts w:eastAsia="Yu Mincho"/>
                <w:color w:val="C45911" w:themeColor="accent2" w:themeShade="BF"/>
                <w:sz w:val="18"/>
                <w:lang w:eastAsia="en-US"/>
              </w:rPr>
              <w:t>New PC2 IMD5 MSD and PC2 Receive harmonic mixing MSD should be defined</w:t>
            </w:r>
          </w:p>
        </w:tc>
      </w:tr>
      <w:tr w:rsidR="0056587B" w:rsidRPr="00A500B1" w:rsidTr="003A62A3">
        <w:trPr>
          <w:trHeight w:val="458"/>
          <w:jc w:val="center"/>
        </w:trPr>
        <w:tc>
          <w:tcPr>
            <w:tcW w:w="1696" w:type="dxa"/>
          </w:tcPr>
          <w:p w:rsidR="0056587B" w:rsidRPr="0056587B" w:rsidRDefault="0056587B" w:rsidP="003A62A3">
            <w:pPr>
              <w:spacing w:after="0"/>
              <w:rPr>
                <w:color w:val="000000" w:themeColor="text1"/>
                <w:sz w:val="18"/>
                <w:szCs w:val="24"/>
              </w:rPr>
            </w:pPr>
            <w:r w:rsidRPr="0056587B">
              <w:rPr>
                <w:color w:val="000000" w:themeColor="text1"/>
                <w:sz w:val="18"/>
              </w:rPr>
              <w:t>CA_n8A-n78A</w:t>
            </w:r>
          </w:p>
        </w:tc>
        <w:tc>
          <w:tcPr>
            <w:tcW w:w="6521" w:type="dxa"/>
          </w:tcPr>
          <w:p w:rsidR="0056587B" w:rsidRPr="0056587B" w:rsidRDefault="0056587B" w:rsidP="003A62A3">
            <w:pPr>
              <w:spacing w:after="0"/>
              <w:rPr>
                <w:color w:val="000000" w:themeColor="text1"/>
                <w:sz w:val="18"/>
              </w:rPr>
            </w:pPr>
            <w:r w:rsidRPr="0056587B">
              <w:rPr>
                <w:color w:val="000000" w:themeColor="text1"/>
                <w:sz w:val="18"/>
              </w:rPr>
              <w:t>- No new harmonic MSD will be defined</w:t>
            </w:r>
          </w:p>
          <w:p w:rsidR="0056587B" w:rsidRPr="0056587B" w:rsidRDefault="0056587B" w:rsidP="003A62A3">
            <w:pPr>
              <w:spacing w:after="0"/>
              <w:rPr>
                <w:color w:val="000000" w:themeColor="text1"/>
                <w:sz w:val="18"/>
              </w:rPr>
            </w:pPr>
            <w:r w:rsidRPr="0056587B">
              <w:rPr>
                <w:color w:val="000000" w:themeColor="text1"/>
                <w:sz w:val="18"/>
              </w:rPr>
              <w:t xml:space="preserve">- </w:t>
            </w:r>
            <w:r w:rsidRPr="0056587B">
              <w:rPr>
                <w:rFonts w:eastAsia="Yu Mincho"/>
                <w:color w:val="C45911" w:themeColor="accent2" w:themeShade="BF"/>
                <w:sz w:val="18"/>
                <w:lang w:eastAsia="en-US"/>
              </w:rPr>
              <w:t>New PC2 IMD4 MSD should be defined</w:t>
            </w:r>
          </w:p>
        </w:tc>
      </w:tr>
      <w:tr w:rsidR="0056587B" w:rsidRPr="00A500B1" w:rsidTr="003A62A3">
        <w:trPr>
          <w:trHeight w:val="228"/>
          <w:jc w:val="center"/>
        </w:trPr>
        <w:tc>
          <w:tcPr>
            <w:tcW w:w="1696" w:type="dxa"/>
          </w:tcPr>
          <w:p w:rsidR="0056587B" w:rsidRPr="0056587B" w:rsidRDefault="0056587B" w:rsidP="003A62A3">
            <w:pPr>
              <w:spacing w:after="0"/>
              <w:rPr>
                <w:color w:val="000000" w:themeColor="text1"/>
                <w:sz w:val="18"/>
                <w:szCs w:val="24"/>
              </w:rPr>
            </w:pPr>
            <w:r w:rsidRPr="0056587B">
              <w:rPr>
                <w:color w:val="000000" w:themeColor="text1"/>
                <w:sz w:val="18"/>
              </w:rPr>
              <w:t>CA_n41A-n71A</w:t>
            </w:r>
          </w:p>
        </w:tc>
        <w:tc>
          <w:tcPr>
            <w:tcW w:w="6521" w:type="dxa"/>
          </w:tcPr>
          <w:p w:rsidR="0056587B" w:rsidRPr="0056587B" w:rsidRDefault="0056587B" w:rsidP="003A62A3">
            <w:pPr>
              <w:spacing w:after="0"/>
              <w:rPr>
                <w:color w:val="000000" w:themeColor="text1"/>
                <w:sz w:val="18"/>
              </w:rPr>
            </w:pPr>
            <w:r w:rsidRPr="0056587B">
              <w:rPr>
                <w:color w:val="000000" w:themeColor="text1"/>
                <w:sz w:val="18"/>
              </w:rPr>
              <w:t>- No new harmonic MSD will be defined</w:t>
            </w:r>
          </w:p>
          <w:p w:rsidR="0056587B" w:rsidRPr="0056587B" w:rsidRDefault="0056587B" w:rsidP="003A62A3">
            <w:pPr>
              <w:spacing w:after="0"/>
              <w:rPr>
                <w:color w:val="000000" w:themeColor="text1"/>
                <w:sz w:val="18"/>
              </w:rPr>
            </w:pPr>
            <w:r w:rsidRPr="0056587B">
              <w:rPr>
                <w:color w:val="000000" w:themeColor="text1"/>
                <w:sz w:val="18"/>
              </w:rPr>
              <w:t>-</w:t>
            </w:r>
            <w:r w:rsidRPr="0056587B">
              <w:rPr>
                <w:rFonts w:eastAsia="Yu Mincho"/>
                <w:color w:val="C45911" w:themeColor="accent2" w:themeShade="BF"/>
                <w:sz w:val="18"/>
                <w:lang w:eastAsia="en-US"/>
              </w:rPr>
              <w:t xml:space="preserve"> New PC2 IMD4 MSD should be defined</w:t>
            </w:r>
          </w:p>
        </w:tc>
      </w:tr>
      <w:tr w:rsidR="0056587B" w:rsidRPr="00A500B1" w:rsidTr="003A62A3">
        <w:trPr>
          <w:trHeight w:val="224"/>
          <w:jc w:val="center"/>
        </w:trPr>
        <w:tc>
          <w:tcPr>
            <w:tcW w:w="1696" w:type="dxa"/>
          </w:tcPr>
          <w:p w:rsidR="0056587B" w:rsidRPr="0056587B" w:rsidRDefault="0056587B" w:rsidP="003A62A3">
            <w:pPr>
              <w:spacing w:after="0"/>
              <w:rPr>
                <w:color w:val="000000" w:themeColor="text1"/>
                <w:sz w:val="18"/>
                <w:szCs w:val="24"/>
              </w:rPr>
            </w:pPr>
            <w:r w:rsidRPr="0056587B">
              <w:rPr>
                <w:color w:val="000000" w:themeColor="text1"/>
                <w:sz w:val="18"/>
              </w:rPr>
              <w:t>CA_n41A-n77A</w:t>
            </w:r>
          </w:p>
        </w:tc>
        <w:tc>
          <w:tcPr>
            <w:tcW w:w="6521" w:type="dxa"/>
          </w:tcPr>
          <w:p w:rsidR="0056587B" w:rsidRPr="0056587B" w:rsidRDefault="0056587B" w:rsidP="003A62A3">
            <w:pPr>
              <w:spacing w:after="0"/>
              <w:rPr>
                <w:rFonts w:eastAsia="Yu Mincho"/>
                <w:color w:val="C45911" w:themeColor="accent2" w:themeShade="BF"/>
                <w:sz w:val="18"/>
                <w:lang w:eastAsia="en-US"/>
              </w:rPr>
            </w:pPr>
            <w:r w:rsidRPr="0056587B">
              <w:rPr>
                <w:color w:val="000000" w:themeColor="text1"/>
                <w:sz w:val="18"/>
              </w:rPr>
              <w:t xml:space="preserve">- </w:t>
            </w:r>
            <w:r w:rsidRPr="0056587B">
              <w:rPr>
                <w:rFonts w:eastAsia="Yu Mincho"/>
                <w:color w:val="C45911" w:themeColor="accent2" w:themeShade="BF"/>
                <w:sz w:val="18"/>
                <w:lang w:eastAsia="en-US"/>
              </w:rPr>
              <w:t>New PC2 harmonic mixing MSD should be defined</w:t>
            </w:r>
          </w:p>
          <w:p w:rsidR="0056587B" w:rsidRPr="0056587B" w:rsidRDefault="0056587B" w:rsidP="003A62A3">
            <w:pPr>
              <w:spacing w:after="0"/>
              <w:rPr>
                <w:color w:val="000000" w:themeColor="text1"/>
                <w:sz w:val="18"/>
                <w:szCs w:val="24"/>
              </w:rPr>
            </w:pPr>
            <w:r w:rsidRPr="0056587B">
              <w:rPr>
                <w:rFonts w:eastAsia="Yu Mincho"/>
                <w:color w:val="C45911" w:themeColor="accent2" w:themeShade="BF"/>
                <w:sz w:val="18"/>
                <w:lang w:eastAsia="en-US"/>
              </w:rPr>
              <w:t>- New PC2 Cross band isolation MSD should be defined</w:t>
            </w:r>
          </w:p>
        </w:tc>
      </w:tr>
      <w:tr w:rsidR="0056587B" w:rsidRPr="00A500B1" w:rsidTr="003A62A3">
        <w:trPr>
          <w:trHeight w:val="248"/>
          <w:jc w:val="center"/>
        </w:trPr>
        <w:tc>
          <w:tcPr>
            <w:tcW w:w="1696" w:type="dxa"/>
          </w:tcPr>
          <w:p w:rsidR="0056587B" w:rsidRPr="0056587B" w:rsidRDefault="0056587B" w:rsidP="003A62A3">
            <w:pPr>
              <w:spacing w:after="0"/>
              <w:rPr>
                <w:color w:val="000000" w:themeColor="text1"/>
                <w:sz w:val="18"/>
                <w:szCs w:val="24"/>
              </w:rPr>
            </w:pPr>
            <w:r w:rsidRPr="0056587B">
              <w:rPr>
                <w:color w:val="000000" w:themeColor="text1"/>
                <w:sz w:val="18"/>
              </w:rPr>
              <w:t>CA_n26A-n78A</w:t>
            </w:r>
          </w:p>
        </w:tc>
        <w:tc>
          <w:tcPr>
            <w:tcW w:w="6521" w:type="dxa"/>
          </w:tcPr>
          <w:p w:rsidR="0056587B" w:rsidRPr="0056587B" w:rsidRDefault="0056587B" w:rsidP="003A62A3">
            <w:pPr>
              <w:spacing w:after="0"/>
              <w:rPr>
                <w:color w:val="000000" w:themeColor="text1"/>
                <w:sz w:val="18"/>
              </w:rPr>
            </w:pPr>
            <w:r w:rsidRPr="0056587B">
              <w:rPr>
                <w:color w:val="000000" w:themeColor="text1"/>
                <w:sz w:val="18"/>
              </w:rPr>
              <w:t>- No new harmonic MSD will be defined</w:t>
            </w:r>
          </w:p>
          <w:p w:rsidR="0056587B" w:rsidRPr="0056587B" w:rsidRDefault="0056587B" w:rsidP="003A62A3">
            <w:pPr>
              <w:spacing w:after="0"/>
              <w:rPr>
                <w:color w:val="000000" w:themeColor="text1"/>
                <w:sz w:val="18"/>
                <w:szCs w:val="24"/>
              </w:rPr>
            </w:pPr>
            <w:r w:rsidRPr="0056587B">
              <w:rPr>
                <w:color w:val="000000" w:themeColor="text1"/>
                <w:sz w:val="18"/>
              </w:rPr>
              <w:t>-</w:t>
            </w:r>
            <w:r w:rsidRPr="0056587B">
              <w:rPr>
                <w:rFonts w:eastAsia="Yu Mincho"/>
                <w:color w:val="C45911" w:themeColor="accent2" w:themeShade="BF"/>
                <w:sz w:val="18"/>
                <w:lang w:eastAsia="en-US"/>
              </w:rPr>
              <w:t xml:space="preserve"> New PC2 IMD4 MSD should be defined</w:t>
            </w:r>
          </w:p>
        </w:tc>
      </w:tr>
      <w:tr w:rsidR="0056587B" w:rsidRPr="00A500B1" w:rsidTr="003A62A3">
        <w:trPr>
          <w:trHeight w:val="189"/>
          <w:jc w:val="center"/>
        </w:trPr>
        <w:tc>
          <w:tcPr>
            <w:tcW w:w="1696" w:type="dxa"/>
          </w:tcPr>
          <w:p w:rsidR="0056587B" w:rsidRPr="0056587B" w:rsidRDefault="0056587B" w:rsidP="003A62A3">
            <w:pPr>
              <w:spacing w:after="0"/>
              <w:rPr>
                <w:color w:val="000000" w:themeColor="text1"/>
                <w:sz w:val="18"/>
                <w:szCs w:val="24"/>
              </w:rPr>
            </w:pPr>
            <w:r w:rsidRPr="0056587B">
              <w:rPr>
                <w:color w:val="000000" w:themeColor="text1"/>
                <w:sz w:val="18"/>
              </w:rPr>
              <w:t>DC_3A_n78A</w:t>
            </w:r>
          </w:p>
        </w:tc>
        <w:tc>
          <w:tcPr>
            <w:tcW w:w="6521" w:type="dxa"/>
          </w:tcPr>
          <w:p w:rsidR="0056587B" w:rsidRPr="0056587B" w:rsidRDefault="0056587B" w:rsidP="003A62A3">
            <w:pPr>
              <w:spacing w:after="0"/>
              <w:rPr>
                <w:color w:val="000000" w:themeColor="text1"/>
                <w:sz w:val="18"/>
              </w:rPr>
            </w:pPr>
            <w:r w:rsidRPr="0056587B">
              <w:rPr>
                <w:color w:val="000000" w:themeColor="text1"/>
                <w:sz w:val="18"/>
              </w:rPr>
              <w:t>- No new harmonic MSD will be defined</w:t>
            </w:r>
          </w:p>
          <w:p w:rsidR="0056587B" w:rsidRPr="0056587B" w:rsidRDefault="0056587B" w:rsidP="003A62A3">
            <w:pPr>
              <w:spacing w:after="0"/>
              <w:rPr>
                <w:color w:val="000000" w:themeColor="text1"/>
                <w:sz w:val="18"/>
                <w:szCs w:val="24"/>
              </w:rPr>
            </w:pPr>
            <w:r w:rsidRPr="0056587B">
              <w:rPr>
                <w:color w:val="000000" w:themeColor="text1"/>
                <w:sz w:val="18"/>
              </w:rPr>
              <w:t xml:space="preserve">- </w:t>
            </w:r>
            <w:r w:rsidRPr="0056587B">
              <w:rPr>
                <w:color w:val="C45911" w:themeColor="accent2" w:themeShade="BF"/>
                <w:sz w:val="18"/>
              </w:rPr>
              <w:t>New PC2 harmonic mixing MSD and PC2 IMD2/4 MSD should be defined</w:t>
            </w:r>
          </w:p>
        </w:tc>
      </w:tr>
      <w:tr w:rsidR="0056587B" w:rsidRPr="00A500B1" w:rsidTr="003A62A3">
        <w:trPr>
          <w:trHeight w:val="30"/>
          <w:jc w:val="center"/>
        </w:trPr>
        <w:tc>
          <w:tcPr>
            <w:tcW w:w="1696" w:type="dxa"/>
          </w:tcPr>
          <w:p w:rsidR="0056587B" w:rsidRPr="0056587B" w:rsidRDefault="0056587B" w:rsidP="003A62A3">
            <w:pPr>
              <w:spacing w:after="0"/>
              <w:rPr>
                <w:color w:val="000000" w:themeColor="text1"/>
                <w:sz w:val="18"/>
              </w:rPr>
            </w:pPr>
            <w:r w:rsidRPr="0056587B">
              <w:rPr>
                <w:color w:val="000000" w:themeColor="text1"/>
                <w:sz w:val="18"/>
              </w:rPr>
              <w:t>DC_40A_n78A</w:t>
            </w:r>
          </w:p>
        </w:tc>
        <w:tc>
          <w:tcPr>
            <w:tcW w:w="6521" w:type="dxa"/>
          </w:tcPr>
          <w:p w:rsidR="0056587B" w:rsidRPr="0056587B" w:rsidRDefault="0056587B" w:rsidP="003A62A3">
            <w:pPr>
              <w:spacing w:after="0"/>
              <w:rPr>
                <w:color w:val="000000" w:themeColor="text1"/>
                <w:sz w:val="18"/>
              </w:rPr>
            </w:pPr>
            <w:r w:rsidRPr="0056587B">
              <w:rPr>
                <w:color w:val="000000" w:themeColor="text1"/>
                <w:sz w:val="18"/>
              </w:rPr>
              <w:t xml:space="preserve">- </w:t>
            </w:r>
            <w:r w:rsidRPr="0056587B">
              <w:rPr>
                <w:color w:val="C45911" w:themeColor="accent2" w:themeShade="BF"/>
                <w:sz w:val="18"/>
              </w:rPr>
              <w:t>New PC2 harmonic mixing MSD should be defined</w:t>
            </w:r>
          </w:p>
          <w:p w:rsidR="0056587B" w:rsidRPr="0056587B" w:rsidRDefault="0056587B" w:rsidP="003A62A3">
            <w:pPr>
              <w:spacing w:after="0"/>
              <w:rPr>
                <w:color w:val="C45911" w:themeColor="accent2" w:themeShade="BF"/>
                <w:sz w:val="18"/>
              </w:rPr>
            </w:pPr>
            <w:r w:rsidRPr="0056587B">
              <w:rPr>
                <w:color w:val="000000" w:themeColor="text1"/>
                <w:sz w:val="18"/>
              </w:rPr>
              <w:t xml:space="preserve">- </w:t>
            </w:r>
            <w:r w:rsidRPr="0056587B">
              <w:rPr>
                <w:color w:val="C45911" w:themeColor="accent2" w:themeShade="BF"/>
                <w:sz w:val="18"/>
              </w:rPr>
              <w:t>New PC2 cross band isolation MSD should be defined</w:t>
            </w:r>
          </w:p>
        </w:tc>
      </w:tr>
    </w:tbl>
    <w:p w:rsidR="0056587B" w:rsidRDefault="0056587B" w:rsidP="006272FF">
      <w:pPr>
        <w:jc w:val="both"/>
        <w:rPr>
          <w:lang w:eastAsia="en-US"/>
        </w:rPr>
      </w:pPr>
    </w:p>
    <w:p w:rsidR="00305D0C" w:rsidRDefault="00305D0C" w:rsidP="006272FF">
      <w:pPr>
        <w:jc w:val="both"/>
      </w:pPr>
      <w:r>
        <w:rPr>
          <w:rFonts w:hint="eastAsia"/>
        </w:rPr>
        <w:t>W</w:t>
      </w:r>
      <w:r>
        <w:t>e take DC_3A_n78A as an example for some qualitative analysis. The proposed UE implementation is 2Tx@n78 and 1Tx@band 3 according to the WID.</w:t>
      </w:r>
      <w:r w:rsidR="00390AC7">
        <w:t xml:space="preserve"> As studied before, three MSD mechanisms exist for the band combination, i.e. IMD, harmonic and harmonic mixing. </w:t>
      </w:r>
    </w:p>
    <w:p w:rsidR="00502A78" w:rsidRDefault="007D6BA5" w:rsidP="006272FF">
      <w:pPr>
        <w:jc w:val="both"/>
      </w:pPr>
      <w:r>
        <w:rPr>
          <w:rFonts w:hint="eastAsia"/>
        </w:rPr>
        <w:t>F</w:t>
      </w:r>
      <w:r>
        <w:t xml:space="preserve">or single Tx and 2Tx at n78, the IMD generative paths are illustrated in Figure separately. </w:t>
      </w:r>
    </w:p>
    <w:p w:rsidR="00305D0C" w:rsidRDefault="00735024" w:rsidP="00735024">
      <w:pPr>
        <w:jc w:val="center"/>
      </w:pPr>
      <w:r>
        <w:rPr>
          <w:noProof/>
        </w:rPr>
        <w:lastRenderedPageBreak/>
        <w:drawing>
          <wp:inline distT="0" distB="0" distL="0" distR="0" wp14:anchorId="56701DD5">
            <wp:extent cx="6018459" cy="2495999"/>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6018459" cy="2495999"/>
                    </a:xfrm>
                    <a:prstGeom prst="rect">
                      <a:avLst/>
                    </a:prstGeom>
                    <a:noFill/>
                  </pic:spPr>
                </pic:pic>
              </a:graphicData>
            </a:graphic>
          </wp:inline>
        </w:drawing>
      </w:r>
    </w:p>
    <w:p w:rsidR="00C22D0F" w:rsidRDefault="00C22D0F" w:rsidP="00C22D0F">
      <w:pPr>
        <w:jc w:val="center"/>
        <w:rPr>
          <w:rFonts w:ascii="Arial" w:hAnsi="Arial" w:cs="Arial"/>
          <w:b/>
          <w:lang w:val="en-US" w:eastAsia="en-US"/>
        </w:rPr>
      </w:pPr>
      <w:r w:rsidRPr="00C22D0F">
        <w:rPr>
          <w:rFonts w:ascii="Arial" w:hAnsi="Arial" w:cs="Arial"/>
          <w:b/>
          <w:lang w:val="en-US"/>
        </w:rPr>
        <w:t>Figure</w:t>
      </w:r>
      <w:r w:rsidRPr="00C22D0F">
        <w:rPr>
          <w:rFonts w:ascii="Arial" w:hAnsi="Arial" w:cs="Arial"/>
          <w:b/>
          <w:lang w:val="en-US" w:eastAsia="en-US"/>
        </w:rPr>
        <w:t xml:space="preserve"> </w:t>
      </w:r>
      <w:r>
        <w:rPr>
          <w:rFonts w:ascii="Arial" w:hAnsi="Arial" w:cs="Arial"/>
          <w:b/>
          <w:lang w:val="en-US" w:eastAsia="en-US"/>
        </w:rPr>
        <w:t>1</w:t>
      </w:r>
      <w:r w:rsidRPr="00C22D0F">
        <w:rPr>
          <w:rFonts w:ascii="Arial" w:hAnsi="Arial" w:cs="Arial"/>
          <w:b/>
          <w:lang w:val="en-US" w:eastAsia="en-US"/>
        </w:rPr>
        <w:t xml:space="preserve">: </w:t>
      </w:r>
      <w:r>
        <w:rPr>
          <w:rFonts w:ascii="Arial" w:hAnsi="Arial" w:cs="Arial"/>
          <w:b/>
          <w:lang w:val="en-US" w:eastAsia="en-US"/>
        </w:rPr>
        <w:t>IMD</w:t>
      </w:r>
      <w:r w:rsidRPr="00C22D0F">
        <w:rPr>
          <w:rFonts w:ascii="Arial" w:hAnsi="Arial" w:cs="Arial"/>
          <w:b/>
          <w:lang w:val="en-US" w:eastAsia="en-US"/>
        </w:rPr>
        <w:t xml:space="preserve"> MSD for DC_3-n78 with 1Tx or 2Tx @ n78</w:t>
      </w:r>
    </w:p>
    <w:p w:rsidR="00072CAC" w:rsidRDefault="00072CAC" w:rsidP="00072CAC">
      <w:pPr>
        <w:jc w:val="both"/>
      </w:pPr>
      <w:r>
        <w:t xml:space="preserve">Specifically, IMD of DC_3A_n78A falls into FDD band 3 Rx. IMD products for 1Tx and 2Tx at n78 are different. </w:t>
      </w:r>
      <w:r w:rsidR="00883179">
        <w:t>Additional IMD needs to be considered for n78</w:t>
      </w:r>
      <w:r>
        <w:t>.</w:t>
      </w:r>
      <w:r w:rsidR="00883179">
        <w:t xml:space="preserve"> Since the output power </w:t>
      </w:r>
      <w:r w:rsidR="00390AC7">
        <w:t xml:space="preserve">for 2Tx n78 is 3dB lower than 1Tx, and the reverse IMD from the diversity chain has additional antenna isolation, whether obvious increasing of IMD should be further analysed. It is known that IMD products strong depends on the linearity assumptions of RF components, and the parameters could be different for </w:t>
      </w:r>
      <w:r w:rsidR="00B97EFE">
        <w:t>different band combinations, thus accurate analysis should be performed case by case.</w:t>
      </w:r>
    </w:p>
    <w:p w:rsidR="00CE10FF" w:rsidRDefault="00CE10FF" w:rsidP="00072CAC">
      <w:pPr>
        <w:jc w:val="both"/>
      </w:pPr>
      <w:r>
        <w:rPr>
          <w:rFonts w:hint="eastAsia"/>
        </w:rPr>
        <w:t>F</w:t>
      </w:r>
      <w:r>
        <w:t xml:space="preserve">or harmonic mixing, as illustrated in Figure 2, additional harmonic paths should also be considered for 2Tx implementation. </w:t>
      </w:r>
    </w:p>
    <w:p w:rsidR="00B97EFE" w:rsidRDefault="00B97EFE" w:rsidP="00072CAC">
      <w:pPr>
        <w:jc w:val="both"/>
      </w:pPr>
      <w:r>
        <w:rPr>
          <w:noProof/>
        </w:rPr>
        <w:drawing>
          <wp:inline distT="0" distB="0" distL="0" distR="0" wp14:anchorId="2BB711F7" wp14:editId="29390673">
            <wp:extent cx="6018459" cy="2317919"/>
            <wp:effectExtent l="0" t="0" r="190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018459" cy="2317919"/>
                    </a:xfrm>
                    <a:prstGeom prst="rect">
                      <a:avLst/>
                    </a:prstGeom>
                    <a:noFill/>
                  </pic:spPr>
                </pic:pic>
              </a:graphicData>
            </a:graphic>
          </wp:inline>
        </w:drawing>
      </w:r>
    </w:p>
    <w:p w:rsidR="00D81E31" w:rsidRDefault="00D81E31" w:rsidP="00D81E31">
      <w:pPr>
        <w:jc w:val="center"/>
        <w:rPr>
          <w:rFonts w:ascii="Arial" w:hAnsi="Arial" w:cs="Arial"/>
          <w:b/>
          <w:lang w:val="en-US" w:eastAsia="en-US"/>
        </w:rPr>
      </w:pPr>
      <w:r w:rsidRPr="00C22D0F">
        <w:rPr>
          <w:rFonts w:ascii="Arial" w:hAnsi="Arial" w:cs="Arial"/>
          <w:b/>
          <w:lang w:val="en-US"/>
        </w:rPr>
        <w:t>Figure</w:t>
      </w:r>
      <w:r w:rsidRPr="00C22D0F">
        <w:rPr>
          <w:rFonts w:ascii="Arial" w:hAnsi="Arial" w:cs="Arial"/>
          <w:b/>
          <w:lang w:val="en-US" w:eastAsia="en-US"/>
        </w:rPr>
        <w:t xml:space="preserve"> </w:t>
      </w:r>
      <w:r w:rsidR="00CE10FF">
        <w:rPr>
          <w:rFonts w:ascii="Arial" w:hAnsi="Arial" w:cs="Arial"/>
          <w:b/>
          <w:lang w:val="en-US" w:eastAsia="en-US"/>
        </w:rPr>
        <w:t>2</w:t>
      </w:r>
      <w:r w:rsidRPr="00C22D0F">
        <w:rPr>
          <w:rFonts w:ascii="Arial" w:hAnsi="Arial" w:cs="Arial"/>
          <w:b/>
          <w:lang w:val="en-US" w:eastAsia="en-US"/>
        </w:rPr>
        <w:t xml:space="preserve">: </w:t>
      </w:r>
      <w:r w:rsidR="00CE10FF">
        <w:rPr>
          <w:rFonts w:ascii="Arial" w:hAnsi="Arial" w:cs="Arial"/>
          <w:b/>
          <w:lang w:val="en-US" w:eastAsia="en-US"/>
        </w:rPr>
        <w:t>Harmonic mixing</w:t>
      </w:r>
      <w:r w:rsidRPr="00C22D0F">
        <w:rPr>
          <w:rFonts w:ascii="Arial" w:hAnsi="Arial" w:cs="Arial"/>
          <w:b/>
          <w:lang w:val="en-US" w:eastAsia="en-US"/>
        </w:rPr>
        <w:t xml:space="preserve"> MSD for DC_3-n78 with 1Tx or 2Tx @ n78</w:t>
      </w:r>
    </w:p>
    <w:p w:rsidR="00390AC7" w:rsidRPr="00390AC7" w:rsidRDefault="008D7E2E" w:rsidP="00072CAC">
      <w:pPr>
        <w:jc w:val="both"/>
        <w:rPr>
          <w:lang w:val="en-US"/>
        </w:rPr>
      </w:pPr>
      <w:r>
        <w:rPr>
          <w:rFonts w:hint="eastAsia"/>
          <w:lang w:val="en-US"/>
        </w:rPr>
        <w:t>W</w:t>
      </w:r>
      <w:r>
        <w:rPr>
          <w:lang w:val="en-US"/>
        </w:rPr>
        <w:t xml:space="preserve">hile for 2Tx implementation, not all MSD mechanisms need to be re-visited. Figure 3 shows the harmonic comparison between 1Tx and 2Tx at n78. It can be seen that for the TDD band, no matter 1Tx or 2Tx, the harmonic impact from the low band is the same. </w:t>
      </w:r>
    </w:p>
    <w:p w:rsidR="00735024" w:rsidRPr="0056587B" w:rsidRDefault="00735024" w:rsidP="00735024">
      <w:pPr>
        <w:jc w:val="center"/>
      </w:pPr>
      <w:r>
        <w:rPr>
          <w:noProof/>
        </w:rPr>
        <w:lastRenderedPageBreak/>
        <w:drawing>
          <wp:inline distT="0" distB="0" distL="0" distR="0" wp14:anchorId="4CC1505C" wp14:editId="2F34A8B3">
            <wp:extent cx="6018474" cy="2317925"/>
            <wp:effectExtent l="0" t="0" r="190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6018474" cy="2317925"/>
                    </a:xfrm>
                    <a:prstGeom prst="rect">
                      <a:avLst/>
                    </a:prstGeom>
                    <a:noFill/>
                  </pic:spPr>
                </pic:pic>
              </a:graphicData>
            </a:graphic>
          </wp:inline>
        </w:drawing>
      </w:r>
    </w:p>
    <w:p w:rsidR="0056587B" w:rsidRPr="00C22D0F" w:rsidRDefault="00C22D0F" w:rsidP="00C22D0F">
      <w:pPr>
        <w:jc w:val="center"/>
        <w:rPr>
          <w:rFonts w:ascii="Arial" w:hAnsi="Arial" w:cs="Arial"/>
          <w:b/>
          <w:lang w:val="en-US" w:eastAsia="en-US"/>
        </w:rPr>
      </w:pPr>
      <w:r w:rsidRPr="00C22D0F">
        <w:rPr>
          <w:rFonts w:ascii="Arial" w:hAnsi="Arial" w:cs="Arial"/>
          <w:b/>
          <w:lang w:val="en-US"/>
        </w:rPr>
        <w:t>Figure</w:t>
      </w:r>
      <w:r w:rsidRPr="00C22D0F">
        <w:rPr>
          <w:rFonts w:ascii="Arial" w:hAnsi="Arial" w:cs="Arial"/>
          <w:b/>
          <w:lang w:val="en-US" w:eastAsia="en-US"/>
        </w:rPr>
        <w:t xml:space="preserve"> </w:t>
      </w:r>
      <w:r w:rsidR="00CE10FF">
        <w:rPr>
          <w:rFonts w:ascii="Arial" w:hAnsi="Arial" w:cs="Arial"/>
          <w:b/>
          <w:lang w:val="en-US" w:eastAsia="en-US"/>
        </w:rPr>
        <w:t>3</w:t>
      </w:r>
      <w:r w:rsidRPr="00C22D0F">
        <w:rPr>
          <w:rFonts w:ascii="Arial" w:hAnsi="Arial" w:cs="Arial"/>
          <w:b/>
          <w:lang w:val="en-US" w:eastAsia="en-US"/>
        </w:rPr>
        <w:t>: Harmonic MSD for DC_3-n78 with 1Tx or 2Tx @ n78</w:t>
      </w:r>
    </w:p>
    <w:p w:rsidR="00EE0F7E" w:rsidRPr="00EE0F7E" w:rsidRDefault="00EE0F7E" w:rsidP="006272FF">
      <w:pPr>
        <w:jc w:val="both"/>
        <w:rPr>
          <w:lang w:val="en-US"/>
        </w:rPr>
      </w:pPr>
      <w:r>
        <w:rPr>
          <w:lang w:val="en-US"/>
        </w:rPr>
        <w:t xml:space="preserve">Though there is no cross-band isolation MSD for </w:t>
      </w:r>
      <w:r w:rsidRPr="00EE0F7E">
        <w:rPr>
          <w:lang w:val="en-US"/>
        </w:rPr>
        <w:t>DC_3-n78</w:t>
      </w:r>
      <w:r>
        <w:rPr>
          <w:lang w:val="en-US"/>
        </w:rPr>
        <w:t xml:space="preserve">, since the noise floor could be in similar level for different power class especially for the far end noise, it is expected that the MSD for 2Tx would be increased. </w:t>
      </w:r>
      <w:proofErr w:type="gramStart"/>
      <w:r w:rsidR="003E25CE">
        <w:rPr>
          <w:lang w:val="en-US"/>
        </w:rPr>
        <w:t>Thus</w:t>
      </w:r>
      <w:proofErr w:type="gramEnd"/>
      <w:r w:rsidR="003E25CE">
        <w:rPr>
          <w:lang w:val="en-US"/>
        </w:rPr>
        <w:t xml:space="preserve"> for a band combination with cross band isolation, the impact with 2Tx should also be re-evaluated.</w:t>
      </w:r>
    </w:p>
    <w:p w:rsidR="005369EE" w:rsidRDefault="005369EE" w:rsidP="006272FF">
      <w:pPr>
        <w:jc w:val="both"/>
        <w:rPr>
          <w:b/>
          <w:i/>
          <w:lang w:val="en-US" w:eastAsia="en-US"/>
        </w:rPr>
      </w:pPr>
      <w:r>
        <w:rPr>
          <w:b/>
          <w:i/>
          <w:lang w:val="en-US" w:eastAsia="en-US"/>
        </w:rPr>
        <w:t xml:space="preserve">Observation 1: </w:t>
      </w:r>
      <w:r w:rsidR="00983C81">
        <w:rPr>
          <w:b/>
          <w:i/>
          <w:lang w:val="en-US" w:eastAsia="en-US"/>
        </w:rPr>
        <w:t xml:space="preserve">For certain band combinations, due to additional paths for non-linearity products, some MSD mechanisms should be re-evaluated. </w:t>
      </w:r>
    </w:p>
    <w:p w:rsidR="00983C81" w:rsidRDefault="00983C81" w:rsidP="006272FF">
      <w:pPr>
        <w:jc w:val="both"/>
        <w:rPr>
          <w:b/>
          <w:i/>
          <w:lang w:val="en-US"/>
        </w:rPr>
      </w:pPr>
      <w:r>
        <w:rPr>
          <w:rFonts w:hint="eastAsia"/>
          <w:b/>
          <w:i/>
          <w:lang w:val="en-US"/>
        </w:rPr>
        <w:t>O</w:t>
      </w:r>
      <w:r>
        <w:rPr>
          <w:b/>
          <w:i/>
          <w:lang w:val="en-US"/>
        </w:rPr>
        <w:t xml:space="preserve">bservation 2: </w:t>
      </w:r>
      <w:r w:rsidR="003C4061">
        <w:rPr>
          <w:b/>
          <w:i/>
          <w:lang w:val="en-US"/>
        </w:rPr>
        <w:t>As t</w:t>
      </w:r>
      <w:r>
        <w:rPr>
          <w:b/>
          <w:i/>
          <w:lang w:val="en-US"/>
        </w:rPr>
        <w:t xml:space="preserve">he linearity assumptions vary band by band, the </w:t>
      </w:r>
      <w:r w:rsidR="003C4061">
        <w:rPr>
          <w:b/>
          <w:i/>
          <w:lang w:val="en-US"/>
        </w:rPr>
        <w:t>MSD values, if needed, should be studied case by case for 3Tx vs 2Tx</w:t>
      </w:r>
      <w:r w:rsidR="003C4061" w:rsidRPr="003C4061">
        <w:rPr>
          <w:b/>
          <w:i/>
          <w:lang w:val="en-US"/>
        </w:rPr>
        <w:t xml:space="preserve"> </w:t>
      </w:r>
      <w:r w:rsidR="003C4061">
        <w:rPr>
          <w:b/>
          <w:i/>
          <w:lang w:val="en-US"/>
        </w:rPr>
        <w:t xml:space="preserve">band combinations. </w:t>
      </w:r>
    </w:p>
    <w:p w:rsidR="00167F84" w:rsidRDefault="00167F84" w:rsidP="006272FF">
      <w:pPr>
        <w:jc w:val="both"/>
        <w:rPr>
          <w:b/>
          <w:i/>
          <w:lang w:val="en-US"/>
        </w:rPr>
      </w:pPr>
      <w:r w:rsidRPr="005369EE">
        <w:rPr>
          <w:b/>
          <w:i/>
          <w:lang w:val="en-US" w:eastAsia="en-US"/>
        </w:rPr>
        <w:t>Proposal 1:</w:t>
      </w:r>
      <w:r w:rsidR="00BD2556">
        <w:rPr>
          <w:b/>
          <w:i/>
          <w:lang w:val="en-US" w:eastAsia="en-US"/>
        </w:rPr>
        <w:t xml:space="preserve"> MSD analysis should be performed case by case for the proposed band combinations with 3</w:t>
      </w:r>
      <w:r w:rsidR="00BD2556">
        <w:rPr>
          <w:rFonts w:hint="eastAsia"/>
          <w:b/>
          <w:i/>
          <w:lang w:val="en-US"/>
        </w:rPr>
        <w:t>Tx</w:t>
      </w:r>
      <w:r w:rsidR="00BD2556">
        <w:rPr>
          <w:b/>
          <w:i/>
          <w:lang w:val="en-US"/>
        </w:rPr>
        <w:t xml:space="preserve"> in two operating bands.</w:t>
      </w:r>
    </w:p>
    <w:p w:rsidR="00BD2556" w:rsidRPr="00EE0F7E" w:rsidRDefault="00EE0F7E" w:rsidP="00EE0F7E">
      <w:pPr>
        <w:pStyle w:val="Heading2"/>
        <w:tabs>
          <w:tab w:val="clear" w:pos="681"/>
          <w:tab w:val="num" w:pos="397"/>
        </w:tabs>
        <w:spacing w:after="240"/>
        <w:ind w:left="0"/>
        <w:rPr>
          <w:rFonts w:eastAsiaTheme="minorEastAsia"/>
          <w:lang w:val="en-US" w:eastAsia="zh-CN"/>
        </w:rPr>
      </w:pPr>
      <w:r w:rsidRPr="00EE0F7E">
        <w:rPr>
          <w:rFonts w:eastAsiaTheme="minorEastAsia" w:hint="eastAsia"/>
          <w:lang w:val="en-US" w:eastAsia="zh-CN"/>
        </w:rPr>
        <w:t>Spec</w:t>
      </w:r>
      <w:r>
        <w:rPr>
          <w:rFonts w:eastAsiaTheme="minorEastAsia"/>
          <w:lang w:val="en-US" w:eastAsia="zh-CN"/>
        </w:rPr>
        <w:t xml:space="preserve"> </w:t>
      </w:r>
      <w:r>
        <w:rPr>
          <w:rFonts w:eastAsiaTheme="minorEastAsia" w:hint="eastAsia"/>
          <w:lang w:val="en-US" w:eastAsia="zh-CN"/>
        </w:rPr>
        <w:t>changes</w:t>
      </w:r>
      <w:r>
        <w:rPr>
          <w:rFonts w:eastAsiaTheme="minorEastAsia"/>
          <w:lang w:val="en-US" w:eastAsia="zh-CN"/>
        </w:rPr>
        <w:t xml:space="preserve"> due to different MSD for 3T</w:t>
      </w:r>
    </w:p>
    <w:p w:rsidR="00EE0F7E" w:rsidRDefault="00C52DC3" w:rsidP="006272FF">
      <w:pPr>
        <w:jc w:val="both"/>
        <w:rPr>
          <w:lang w:val="en-US"/>
        </w:rPr>
      </w:pPr>
      <w:r>
        <w:rPr>
          <w:lang w:val="en-US"/>
        </w:rPr>
        <w:t>Here we use harmonic MSD as an example to discuss the possible spec changes due to different MSD for 3Tx.</w:t>
      </w:r>
    </w:p>
    <w:p w:rsidR="00C52DC3" w:rsidRDefault="00C52DC3" w:rsidP="006272FF">
      <w:pPr>
        <w:jc w:val="both"/>
        <w:rPr>
          <w:lang w:val="en-US"/>
        </w:rPr>
      </w:pPr>
      <w:r>
        <w:rPr>
          <w:rFonts w:hint="eastAsia"/>
          <w:lang w:val="en-US"/>
        </w:rPr>
        <w:t>I</w:t>
      </w:r>
      <w:r>
        <w:rPr>
          <w:lang w:val="en-US"/>
        </w:rPr>
        <w:t>n the existing TS 38.101-1 specification, now PC3 and PC2 aggressor UL band define different tables.</w:t>
      </w:r>
    </w:p>
    <w:p w:rsidR="00C52DC3" w:rsidRDefault="00C52DC3" w:rsidP="00C52DC3">
      <w:pPr>
        <w:pStyle w:val="TH"/>
      </w:pPr>
      <w:r>
        <w:t xml:space="preserve">Table 7.3A.4-1: Reference sensitivity exceptions and uplink/downlink configurations due to UL harmonic </w:t>
      </w:r>
      <w:r>
        <w:rPr>
          <w:lang w:val="en-US"/>
        </w:rPr>
        <w:t xml:space="preserve">from a </w:t>
      </w:r>
      <w:r w:rsidRPr="00724F97">
        <w:rPr>
          <w:highlight w:val="yellow"/>
          <w:lang w:val="en-US"/>
        </w:rPr>
        <w:t>PC3 aggressor NR UL band</w:t>
      </w:r>
      <w:r>
        <w:rPr>
          <w:lang w:val="en-US"/>
        </w:rPr>
        <w:t xml:space="preserve"> </w:t>
      </w:r>
      <w:r>
        <w:t>for NR DL CA</w:t>
      </w:r>
      <w:r>
        <w:rPr>
          <w:lang w:val="en-US"/>
        </w:rPr>
        <w:t xml:space="preserve"> </w:t>
      </w:r>
      <w:r>
        <w:t>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733"/>
        <w:gridCol w:w="1060"/>
        <w:gridCol w:w="1089"/>
        <w:gridCol w:w="1994"/>
        <w:gridCol w:w="1083"/>
        <w:gridCol w:w="754"/>
        <w:gridCol w:w="1026"/>
        <w:gridCol w:w="1027"/>
      </w:tblGrid>
      <w:tr w:rsidR="00C52DC3" w:rsidTr="00FA1106">
        <w:trPr>
          <w:trHeight w:val="732"/>
          <w:jc w:val="center"/>
        </w:trPr>
        <w:tc>
          <w:tcPr>
            <w:tcW w:w="454" w:type="pct"/>
            <w:vMerge w:val="restart"/>
            <w:vAlign w:val="center"/>
          </w:tcPr>
          <w:p w:rsidR="00C52DC3" w:rsidRDefault="00C52DC3" w:rsidP="003A62A3">
            <w:pPr>
              <w:pStyle w:val="TAH"/>
            </w:pPr>
            <w:r>
              <w:t>UL band</w:t>
            </w:r>
          </w:p>
        </w:tc>
        <w:tc>
          <w:tcPr>
            <w:tcW w:w="385" w:type="pct"/>
            <w:vMerge w:val="restart"/>
            <w:vAlign w:val="center"/>
          </w:tcPr>
          <w:p w:rsidR="00C52DC3" w:rsidRDefault="00C52DC3" w:rsidP="003A62A3">
            <w:pPr>
              <w:pStyle w:val="TAH"/>
            </w:pPr>
            <w:r>
              <w:t>DL band</w:t>
            </w:r>
          </w:p>
        </w:tc>
        <w:tc>
          <w:tcPr>
            <w:tcW w:w="555" w:type="pct"/>
            <w:vAlign w:val="center"/>
          </w:tcPr>
          <w:p w:rsidR="00C52DC3" w:rsidRDefault="00C52DC3" w:rsidP="003A62A3">
            <w:pPr>
              <w:pStyle w:val="TAH"/>
            </w:pPr>
            <w:r>
              <w:t>UL BW</w:t>
            </w:r>
          </w:p>
        </w:tc>
        <w:tc>
          <w:tcPr>
            <w:tcW w:w="570" w:type="pct"/>
            <w:vAlign w:val="center"/>
          </w:tcPr>
          <w:p w:rsidR="00C52DC3" w:rsidRDefault="00C52DC3" w:rsidP="003A62A3">
            <w:pPr>
              <w:pStyle w:val="TAH"/>
            </w:pPr>
            <w:r>
              <w:t>SCS of UL band</w:t>
            </w:r>
          </w:p>
        </w:tc>
        <w:tc>
          <w:tcPr>
            <w:tcW w:w="1040" w:type="pct"/>
            <w:vAlign w:val="center"/>
          </w:tcPr>
          <w:p w:rsidR="00C52DC3" w:rsidRDefault="00C52DC3" w:rsidP="003A62A3">
            <w:pPr>
              <w:pStyle w:val="TAH"/>
            </w:pPr>
            <w:r>
              <w:t>UL RB Allocation</w:t>
            </w:r>
          </w:p>
        </w:tc>
        <w:tc>
          <w:tcPr>
            <w:tcW w:w="567" w:type="pct"/>
            <w:vAlign w:val="center"/>
          </w:tcPr>
          <w:p w:rsidR="00C52DC3" w:rsidRDefault="00C52DC3" w:rsidP="003A62A3">
            <w:pPr>
              <w:pStyle w:val="TAH"/>
            </w:pPr>
            <w:r>
              <w:t>DL BW</w:t>
            </w:r>
          </w:p>
        </w:tc>
        <w:tc>
          <w:tcPr>
            <w:tcW w:w="396" w:type="pct"/>
            <w:vAlign w:val="center"/>
          </w:tcPr>
          <w:p w:rsidR="00C52DC3" w:rsidRDefault="00C52DC3" w:rsidP="003A62A3">
            <w:pPr>
              <w:pStyle w:val="TAH"/>
            </w:pPr>
            <w:r>
              <w:t>MSD</w:t>
            </w:r>
          </w:p>
        </w:tc>
        <w:tc>
          <w:tcPr>
            <w:tcW w:w="516" w:type="pct"/>
            <w:vMerge w:val="restart"/>
            <w:vAlign w:val="center"/>
          </w:tcPr>
          <w:p w:rsidR="00C52DC3" w:rsidRDefault="00C52DC3" w:rsidP="003A62A3">
            <w:pPr>
              <w:pStyle w:val="TAH"/>
            </w:pPr>
            <w:r>
              <w:t>UL/DL fc condition</w:t>
            </w:r>
          </w:p>
        </w:tc>
        <w:tc>
          <w:tcPr>
            <w:tcW w:w="516" w:type="pct"/>
            <w:vMerge w:val="restart"/>
            <w:vAlign w:val="center"/>
          </w:tcPr>
          <w:p w:rsidR="00C52DC3" w:rsidRDefault="00C52DC3" w:rsidP="003A62A3">
            <w:pPr>
              <w:pStyle w:val="TAH"/>
            </w:pPr>
            <w:r>
              <w:t>UL/DL harmonic order</w:t>
            </w:r>
          </w:p>
        </w:tc>
      </w:tr>
      <w:tr w:rsidR="00C52DC3" w:rsidTr="00FA1106">
        <w:trPr>
          <w:trHeight w:val="492"/>
          <w:jc w:val="center"/>
        </w:trPr>
        <w:tc>
          <w:tcPr>
            <w:tcW w:w="454" w:type="pct"/>
            <w:vMerge/>
            <w:vAlign w:val="center"/>
          </w:tcPr>
          <w:p w:rsidR="00C52DC3" w:rsidRDefault="00C52DC3" w:rsidP="003A62A3">
            <w:pPr>
              <w:spacing w:after="0"/>
              <w:rPr>
                <w:rFonts w:ascii="Arial" w:hAnsi="Arial" w:cs="Arial"/>
                <w:b/>
                <w:bCs/>
                <w:sz w:val="18"/>
                <w:szCs w:val="18"/>
              </w:rPr>
            </w:pPr>
          </w:p>
        </w:tc>
        <w:tc>
          <w:tcPr>
            <w:tcW w:w="385" w:type="pct"/>
            <w:vMerge/>
            <w:vAlign w:val="center"/>
          </w:tcPr>
          <w:p w:rsidR="00C52DC3" w:rsidRDefault="00C52DC3" w:rsidP="003A62A3">
            <w:pPr>
              <w:spacing w:after="0"/>
              <w:rPr>
                <w:rFonts w:ascii="Arial" w:hAnsi="Arial" w:cs="Arial"/>
                <w:b/>
                <w:bCs/>
                <w:sz w:val="18"/>
                <w:szCs w:val="18"/>
              </w:rPr>
            </w:pPr>
          </w:p>
        </w:tc>
        <w:tc>
          <w:tcPr>
            <w:tcW w:w="555" w:type="pct"/>
            <w:vAlign w:val="center"/>
          </w:tcPr>
          <w:p w:rsidR="00C52DC3" w:rsidRDefault="00C52DC3" w:rsidP="003A62A3">
            <w:pPr>
              <w:pStyle w:val="TAH"/>
            </w:pPr>
            <w:r>
              <w:t>(MHz)</w:t>
            </w:r>
          </w:p>
        </w:tc>
        <w:tc>
          <w:tcPr>
            <w:tcW w:w="570" w:type="pct"/>
            <w:vAlign w:val="center"/>
          </w:tcPr>
          <w:p w:rsidR="00C52DC3" w:rsidRDefault="00C52DC3" w:rsidP="003A62A3">
            <w:pPr>
              <w:pStyle w:val="TAH"/>
            </w:pPr>
            <w:r>
              <w:t>(kHz)</w:t>
            </w:r>
          </w:p>
        </w:tc>
        <w:tc>
          <w:tcPr>
            <w:tcW w:w="1040" w:type="pct"/>
            <w:vAlign w:val="center"/>
          </w:tcPr>
          <w:p w:rsidR="00C52DC3" w:rsidRDefault="00C52DC3" w:rsidP="003A62A3">
            <w:pPr>
              <w:pStyle w:val="TAH"/>
            </w:pPr>
            <w:r>
              <w:t>L</w:t>
            </w:r>
            <w:r>
              <w:rPr>
                <w:vertAlign w:val="subscript"/>
              </w:rPr>
              <w:t>CRB</w:t>
            </w:r>
          </w:p>
        </w:tc>
        <w:tc>
          <w:tcPr>
            <w:tcW w:w="567" w:type="pct"/>
            <w:vAlign w:val="center"/>
          </w:tcPr>
          <w:p w:rsidR="00C52DC3" w:rsidRDefault="00C52DC3" w:rsidP="003A62A3">
            <w:pPr>
              <w:pStyle w:val="TAH"/>
            </w:pPr>
            <w:r>
              <w:t>(MHz)</w:t>
            </w:r>
          </w:p>
        </w:tc>
        <w:tc>
          <w:tcPr>
            <w:tcW w:w="396" w:type="pct"/>
            <w:vAlign w:val="center"/>
          </w:tcPr>
          <w:p w:rsidR="00C52DC3" w:rsidRDefault="00C52DC3" w:rsidP="003A62A3">
            <w:pPr>
              <w:pStyle w:val="TAH"/>
            </w:pPr>
            <w:r>
              <w:t>(dB)</w:t>
            </w:r>
          </w:p>
        </w:tc>
        <w:tc>
          <w:tcPr>
            <w:tcW w:w="516" w:type="pct"/>
            <w:vMerge/>
            <w:vAlign w:val="center"/>
          </w:tcPr>
          <w:p w:rsidR="00C52DC3" w:rsidRDefault="00C52DC3" w:rsidP="003A62A3">
            <w:pPr>
              <w:spacing w:after="0"/>
              <w:rPr>
                <w:rFonts w:ascii="Arial" w:hAnsi="Arial" w:cs="Arial"/>
                <w:b/>
                <w:bCs/>
                <w:sz w:val="18"/>
                <w:szCs w:val="18"/>
              </w:rPr>
            </w:pPr>
          </w:p>
        </w:tc>
        <w:tc>
          <w:tcPr>
            <w:tcW w:w="516" w:type="pct"/>
            <w:vMerge/>
            <w:vAlign w:val="center"/>
          </w:tcPr>
          <w:p w:rsidR="00C52DC3" w:rsidRDefault="00C52DC3" w:rsidP="003A62A3">
            <w:pPr>
              <w:spacing w:after="0"/>
              <w:rPr>
                <w:rFonts w:ascii="Arial" w:hAnsi="Arial" w:cs="Arial"/>
                <w:b/>
                <w:bCs/>
                <w:sz w:val="18"/>
                <w:szCs w:val="18"/>
              </w:rPr>
            </w:pPr>
          </w:p>
        </w:tc>
      </w:tr>
      <w:tr w:rsidR="00C52DC3" w:rsidTr="00FA1106">
        <w:trPr>
          <w:trHeight w:val="300"/>
          <w:jc w:val="center"/>
        </w:trPr>
        <w:tc>
          <w:tcPr>
            <w:tcW w:w="454" w:type="pct"/>
            <w:vAlign w:val="center"/>
          </w:tcPr>
          <w:p w:rsidR="00C52DC3" w:rsidRDefault="00C52DC3" w:rsidP="003A62A3">
            <w:pPr>
              <w:pStyle w:val="TAC"/>
            </w:pPr>
            <w:r>
              <w:rPr>
                <w:rFonts w:hint="eastAsia"/>
              </w:rPr>
              <w:t>n</w:t>
            </w:r>
            <w:r>
              <w:t>3</w:t>
            </w:r>
          </w:p>
        </w:tc>
        <w:tc>
          <w:tcPr>
            <w:tcW w:w="385" w:type="pct"/>
            <w:vAlign w:val="center"/>
          </w:tcPr>
          <w:p w:rsidR="00C52DC3" w:rsidRDefault="00C52DC3" w:rsidP="003A62A3">
            <w:pPr>
              <w:pStyle w:val="TAC"/>
            </w:pPr>
            <w:r>
              <w:rPr>
                <w:rFonts w:hint="eastAsia"/>
              </w:rPr>
              <w:t>n</w:t>
            </w:r>
            <w:r>
              <w:t>78</w:t>
            </w:r>
          </w:p>
        </w:tc>
        <w:tc>
          <w:tcPr>
            <w:tcW w:w="555" w:type="pct"/>
            <w:noWrap/>
            <w:vAlign w:val="center"/>
          </w:tcPr>
          <w:p w:rsidR="00C52DC3" w:rsidRDefault="00C52DC3" w:rsidP="003A62A3">
            <w:pPr>
              <w:pStyle w:val="TAC"/>
              <w:rPr>
                <w:bCs/>
              </w:rPr>
            </w:pPr>
            <w:r>
              <w:rPr>
                <w:bCs/>
              </w:rPr>
              <w:t>5</w:t>
            </w:r>
          </w:p>
        </w:tc>
        <w:tc>
          <w:tcPr>
            <w:tcW w:w="570" w:type="pct"/>
            <w:vAlign w:val="center"/>
          </w:tcPr>
          <w:p w:rsidR="00C52DC3" w:rsidRDefault="00C52DC3" w:rsidP="003A62A3">
            <w:pPr>
              <w:pStyle w:val="TAC"/>
              <w:rPr>
                <w:bCs/>
              </w:rPr>
            </w:pPr>
            <w:r>
              <w:rPr>
                <w:bCs/>
              </w:rPr>
              <w:t>15</w:t>
            </w:r>
          </w:p>
        </w:tc>
        <w:tc>
          <w:tcPr>
            <w:tcW w:w="1040" w:type="pct"/>
            <w:noWrap/>
            <w:vAlign w:val="center"/>
          </w:tcPr>
          <w:p w:rsidR="00C52DC3" w:rsidRDefault="00C52DC3" w:rsidP="003A62A3">
            <w:pPr>
              <w:pStyle w:val="TAC"/>
              <w:rPr>
                <w:bCs/>
              </w:rPr>
            </w:pPr>
            <w:r>
              <w:rPr>
                <w:bCs/>
              </w:rPr>
              <w:t>25 (</w:t>
            </w:r>
            <w:proofErr w:type="spellStart"/>
            <w:r>
              <w:rPr>
                <w:bCs/>
              </w:rPr>
              <w:t>RBstart</w:t>
            </w:r>
            <w:proofErr w:type="spellEnd"/>
            <w:r>
              <w:rPr>
                <w:bCs/>
              </w:rPr>
              <w:t>=0)</w:t>
            </w:r>
          </w:p>
        </w:tc>
        <w:tc>
          <w:tcPr>
            <w:tcW w:w="567" w:type="pct"/>
            <w:noWrap/>
            <w:vAlign w:val="center"/>
          </w:tcPr>
          <w:p w:rsidR="00C52DC3" w:rsidRDefault="00C52DC3" w:rsidP="003A62A3">
            <w:pPr>
              <w:pStyle w:val="TAC"/>
            </w:pPr>
            <w:r>
              <w:t>10</w:t>
            </w:r>
          </w:p>
        </w:tc>
        <w:tc>
          <w:tcPr>
            <w:tcW w:w="396" w:type="pct"/>
            <w:noWrap/>
            <w:vAlign w:val="center"/>
          </w:tcPr>
          <w:p w:rsidR="00C52DC3" w:rsidRDefault="00C52DC3" w:rsidP="003A62A3">
            <w:pPr>
              <w:pStyle w:val="TAC"/>
              <w:rPr>
                <w:bCs/>
              </w:rPr>
            </w:pPr>
            <w:r>
              <w:rPr>
                <w:bCs/>
              </w:rPr>
              <w:t>23.9</w:t>
            </w:r>
          </w:p>
        </w:tc>
        <w:tc>
          <w:tcPr>
            <w:tcW w:w="516" w:type="pct"/>
            <w:vAlign w:val="center"/>
          </w:tcPr>
          <w:p w:rsidR="00C52DC3" w:rsidRDefault="00C52DC3" w:rsidP="003A62A3">
            <w:pPr>
              <w:pStyle w:val="TAC"/>
              <w:rPr>
                <w:bCs/>
              </w:rPr>
            </w:pPr>
            <w:r>
              <w:rPr>
                <w:bCs/>
              </w:rPr>
              <w:t>NOTE 2</w:t>
            </w:r>
          </w:p>
        </w:tc>
        <w:tc>
          <w:tcPr>
            <w:tcW w:w="516" w:type="pct"/>
            <w:vAlign w:val="center"/>
          </w:tcPr>
          <w:p w:rsidR="00C52DC3" w:rsidRDefault="00C52DC3" w:rsidP="003A62A3">
            <w:pPr>
              <w:pStyle w:val="TAC"/>
              <w:rPr>
                <w:bCs/>
              </w:rPr>
            </w:pPr>
            <w:r>
              <w:rPr>
                <w:bCs/>
              </w:rPr>
              <w:t>UL2/DL1</w:t>
            </w:r>
          </w:p>
          <w:p w:rsidR="00C52DC3" w:rsidRDefault="00C52DC3" w:rsidP="003A62A3">
            <w:pPr>
              <w:pStyle w:val="TAC"/>
              <w:rPr>
                <w:bCs/>
              </w:rPr>
            </w:pPr>
            <w:r>
              <w:rPr>
                <w:bCs/>
              </w:rPr>
              <w:t>direct-hit</w:t>
            </w:r>
          </w:p>
        </w:tc>
      </w:tr>
      <w:tr w:rsidR="00C52DC3" w:rsidTr="00FA1106">
        <w:trPr>
          <w:trHeight w:val="300"/>
          <w:jc w:val="center"/>
        </w:trPr>
        <w:tc>
          <w:tcPr>
            <w:tcW w:w="454" w:type="pct"/>
            <w:vAlign w:val="center"/>
          </w:tcPr>
          <w:p w:rsidR="00C52DC3" w:rsidRDefault="00C52DC3" w:rsidP="003A62A3">
            <w:pPr>
              <w:pStyle w:val="TAC"/>
            </w:pPr>
            <w:r>
              <w:rPr>
                <w:rFonts w:hint="eastAsia"/>
              </w:rPr>
              <w:t>n</w:t>
            </w:r>
            <w:r>
              <w:t>3</w:t>
            </w:r>
          </w:p>
        </w:tc>
        <w:tc>
          <w:tcPr>
            <w:tcW w:w="385" w:type="pct"/>
            <w:vAlign w:val="center"/>
          </w:tcPr>
          <w:p w:rsidR="00C52DC3" w:rsidRDefault="00C52DC3" w:rsidP="003A62A3">
            <w:pPr>
              <w:pStyle w:val="TAC"/>
            </w:pPr>
            <w:r>
              <w:rPr>
                <w:rFonts w:hint="eastAsia"/>
              </w:rPr>
              <w:t>n</w:t>
            </w:r>
            <w:r>
              <w:t>78</w:t>
            </w:r>
          </w:p>
        </w:tc>
        <w:tc>
          <w:tcPr>
            <w:tcW w:w="555" w:type="pct"/>
            <w:noWrap/>
            <w:vAlign w:val="center"/>
          </w:tcPr>
          <w:p w:rsidR="00C52DC3" w:rsidRDefault="00C52DC3" w:rsidP="003A62A3">
            <w:pPr>
              <w:pStyle w:val="TAC"/>
              <w:rPr>
                <w:bCs/>
              </w:rPr>
            </w:pPr>
            <w:r>
              <w:rPr>
                <w:bCs/>
              </w:rPr>
              <w:t>10</w:t>
            </w:r>
          </w:p>
        </w:tc>
        <w:tc>
          <w:tcPr>
            <w:tcW w:w="570" w:type="pct"/>
            <w:vAlign w:val="center"/>
          </w:tcPr>
          <w:p w:rsidR="00C52DC3" w:rsidRDefault="00C52DC3" w:rsidP="003A62A3">
            <w:pPr>
              <w:pStyle w:val="TAC"/>
              <w:rPr>
                <w:bCs/>
              </w:rPr>
            </w:pPr>
            <w:r>
              <w:rPr>
                <w:bCs/>
              </w:rPr>
              <w:t>15</w:t>
            </w:r>
          </w:p>
        </w:tc>
        <w:tc>
          <w:tcPr>
            <w:tcW w:w="1040" w:type="pct"/>
            <w:noWrap/>
            <w:vAlign w:val="center"/>
          </w:tcPr>
          <w:p w:rsidR="00C52DC3" w:rsidRDefault="00C52DC3" w:rsidP="003A62A3">
            <w:pPr>
              <w:pStyle w:val="TAC"/>
              <w:rPr>
                <w:bCs/>
              </w:rPr>
            </w:pPr>
            <w:r>
              <w:rPr>
                <w:bCs/>
              </w:rPr>
              <w:t>50 (</w:t>
            </w:r>
            <w:proofErr w:type="spellStart"/>
            <w:r>
              <w:rPr>
                <w:bCs/>
              </w:rPr>
              <w:t>RBstart</w:t>
            </w:r>
            <w:proofErr w:type="spellEnd"/>
            <w:r>
              <w:rPr>
                <w:bCs/>
              </w:rPr>
              <w:t>=0)</w:t>
            </w:r>
          </w:p>
        </w:tc>
        <w:tc>
          <w:tcPr>
            <w:tcW w:w="567" w:type="pct"/>
            <w:noWrap/>
            <w:vAlign w:val="center"/>
          </w:tcPr>
          <w:p w:rsidR="00C52DC3" w:rsidRDefault="00C52DC3" w:rsidP="003A62A3">
            <w:pPr>
              <w:pStyle w:val="TAC"/>
            </w:pPr>
            <w:r>
              <w:t>100</w:t>
            </w:r>
          </w:p>
        </w:tc>
        <w:tc>
          <w:tcPr>
            <w:tcW w:w="396" w:type="pct"/>
            <w:noWrap/>
            <w:vAlign w:val="center"/>
          </w:tcPr>
          <w:p w:rsidR="00C52DC3" w:rsidRDefault="00C52DC3" w:rsidP="003A62A3">
            <w:pPr>
              <w:pStyle w:val="TAC"/>
              <w:rPr>
                <w:bCs/>
              </w:rPr>
            </w:pPr>
            <w:r>
              <w:rPr>
                <w:bCs/>
              </w:rPr>
              <w:t>13.8</w:t>
            </w:r>
          </w:p>
        </w:tc>
        <w:tc>
          <w:tcPr>
            <w:tcW w:w="516" w:type="pct"/>
            <w:vAlign w:val="center"/>
          </w:tcPr>
          <w:p w:rsidR="00C52DC3" w:rsidRDefault="00C52DC3" w:rsidP="003A62A3">
            <w:pPr>
              <w:pStyle w:val="TAC"/>
              <w:rPr>
                <w:bCs/>
              </w:rPr>
            </w:pPr>
            <w:r>
              <w:rPr>
                <w:bCs/>
              </w:rPr>
              <w:t>NOTE 2</w:t>
            </w:r>
          </w:p>
        </w:tc>
        <w:tc>
          <w:tcPr>
            <w:tcW w:w="516" w:type="pct"/>
            <w:vAlign w:val="center"/>
          </w:tcPr>
          <w:p w:rsidR="00C52DC3" w:rsidRDefault="00C52DC3" w:rsidP="003A62A3">
            <w:pPr>
              <w:pStyle w:val="TAC"/>
              <w:rPr>
                <w:bCs/>
              </w:rPr>
            </w:pPr>
            <w:r>
              <w:rPr>
                <w:bCs/>
              </w:rPr>
              <w:t>UL2/DL1</w:t>
            </w:r>
          </w:p>
          <w:p w:rsidR="00C52DC3" w:rsidRDefault="00C52DC3" w:rsidP="003A62A3">
            <w:pPr>
              <w:pStyle w:val="TAC"/>
              <w:rPr>
                <w:bCs/>
              </w:rPr>
            </w:pPr>
            <w:r>
              <w:rPr>
                <w:bCs/>
              </w:rPr>
              <w:t>direct-hit</w:t>
            </w:r>
          </w:p>
        </w:tc>
      </w:tr>
      <w:tr w:rsidR="00C52DC3" w:rsidTr="00FA1106">
        <w:trPr>
          <w:trHeight w:val="300"/>
          <w:jc w:val="center"/>
        </w:trPr>
        <w:tc>
          <w:tcPr>
            <w:tcW w:w="454" w:type="pct"/>
            <w:vAlign w:val="center"/>
          </w:tcPr>
          <w:p w:rsidR="00C52DC3" w:rsidRDefault="00C52DC3" w:rsidP="003A62A3">
            <w:pPr>
              <w:pStyle w:val="TAC"/>
            </w:pPr>
            <w:r>
              <w:rPr>
                <w:rFonts w:hint="eastAsia"/>
              </w:rPr>
              <w:t>n</w:t>
            </w:r>
            <w:r>
              <w:t>3</w:t>
            </w:r>
          </w:p>
        </w:tc>
        <w:tc>
          <w:tcPr>
            <w:tcW w:w="385" w:type="pct"/>
            <w:vAlign w:val="center"/>
          </w:tcPr>
          <w:p w:rsidR="00C52DC3" w:rsidRDefault="00C52DC3" w:rsidP="003A62A3">
            <w:pPr>
              <w:pStyle w:val="TAC"/>
            </w:pPr>
            <w:r>
              <w:rPr>
                <w:rFonts w:hint="eastAsia"/>
              </w:rPr>
              <w:t>n</w:t>
            </w:r>
            <w:r>
              <w:t>78</w:t>
            </w:r>
          </w:p>
        </w:tc>
        <w:tc>
          <w:tcPr>
            <w:tcW w:w="555" w:type="pct"/>
            <w:noWrap/>
            <w:vAlign w:val="center"/>
          </w:tcPr>
          <w:p w:rsidR="00C52DC3" w:rsidRDefault="00C52DC3" w:rsidP="003A62A3">
            <w:pPr>
              <w:pStyle w:val="TAC"/>
              <w:rPr>
                <w:bCs/>
              </w:rPr>
            </w:pPr>
            <w:r>
              <w:rPr>
                <w:bCs/>
              </w:rPr>
              <w:t>5</w:t>
            </w:r>
          </w:p>
        </w:tc>
        <w:tc>
          <w:tcPr>
            <w:tcW w:w="570" w:type="pct"/>
            <w:vAlign w:val="center"/>
          </w:tcPr>
          <w:p w:rsidR="00C52DC3" w:rsidRDefault="00C52DC3" w:rsidP="003A62A3">
            <w:pPr>
              <w:pStyle w:val="TAC"/>
              <w:rPr>
                <w:bCs/>
              </w:rPr>
            </w:pPr>
            <w:r>
              <w:rPr>
                <w:bCs/>
              </w:rPr>
              <w:t>15</w:t>
            </w:r>
          </w:p>
        </w:tc>
        <w:tc>
          <w:tcPr>
            <w:tcW w:w="1040" w:type="pct"/>
            <w:noWrap/>
            <w:vAlign w:val="center"/>
          </w:tcPr>
          <w:p w:rsidR="00C52DC3" w:rsidRDefault="00C52DC3" w:rsidP="003A62A3">
            <w:pPr>
              <w:pStyle w:val="TAC"/>
              <w:rPr>
                <w:bCs/>
              </w:rPr>
            </w:pPr>
            <w:r>
              <w:rPr>
                <w:bCs/>
              </w:rPr>
              <w:t>25 (</w:t>
            </w:r>
            <w:proofErr w:type="spellStart"/>
            <w:r>
              <w:rPr>
                <w:bCs/>
              </w:rPr>
              <w:t>RBstart</w:t>
            </w:r>
            <w:proofErr w:type="spellEnd"/>
            <w:r>
              <w:rPr>
                <w:bCs/>
              </w:rPr>
              <w:t>=0)</w:t>
            </w:r>
          </w:p>
        </w:tc>
        <w:tc>
          <w:tcPr>
            <w:tcW w:w="567" w:type="pct"/>
            <w:noWrap/>
            <w:vAlign w:val="center"/>
          </w:tcPr>
          <w:p w:rsidR="00C52DC3" w:rsidRDefault="00C52DC3" w:rsidP="003A62A3">
            <w:pPr>
              <w:pStyle w:val="TAC"/>
            </w:pPr>
            <w:r>
              <w:t>10</w:t>
            </w:r>
          </w:p>
        </w:tc>
        <w:tc>
          <w:tcPr>
            <w:tcW w:w="396" w:type="pct"/>
            <w:noWrap/>
            <w:vAlign w:val="center"/>
          </w:tcPr>
          <w:p w:rsidR="00C52DC3" w:rsidRDefault="00C52DC3" w:rsidP="003A62A3">
            <w:pPr>
              <w:pStyle w:val="TAC"/>
              <w:rPr>
                <w:bCs/>
              </w:rPr>
            </w:pPr>
            <w:r>
              <w:rPr>
                <w:bCs/>
              </w:rPr>
              <w:t>1.1</w:t>
            </w:r>
          </w:p>
        </w:tc>
        <w:tc>
          <w:tcPr>
            <w:tcW w:w="516" w:type="pct"/>
            <w:vAlign w:val="center"/>
          </w:tcPr>
          <w:p w:rsidR="00C52DC3" w:rsidRDefault="00C52DC3" w:rsidP="003A62A3">
            <w:pPr>
              <w:pStyle w:val="TAC"/>
              <w:rPr>
                <w:bCs/>
              </w:rPr>
            </w:pPr>
            <w:r>
              <w:rPr>
                <w:bCs/>
              </w:rPr>
              <w:t>NOTE 6</w:t>
            </w:r>
          </w:p>
        </w:tc>
        <w:tc>
          <w:tcPr>
            <w:tcW w:w="516" w:type="pct"/>
            <w:vAlign w:val="center"/>
          </w:tcPr>
          <w:p w:rsidR="00C52DC3" w:rsidRDefault="00C52DC3" w:rsidP="003A62A3">
            <w:pPr>
              <w:pStyle w:val="TAC"/>
              <w:rPr>
                <w:bCs/>
              </w:rPr>
            </w:pPr>
            <w:r>
              <w:rPr>
                <w:bCs/>
              </w:rPr>
              <w:t>UL2/DL1</w:t>
            </w:r>
          </w:p>
          <w:p w:rsidR="00C52DC3" w:rsidRDefault="00C52DC3" w:rsidP="003A62A3">
            <w:pPr>
              <w:pStyle w:val="TAC"/>
              <w:rPr>
                <w:bCs/>
              </w:rPr>
            </w:pPr>
            <w:r>
              <w:rPr>
                <w:bCs/>
              </w:rPr>
              <w:t>near-miss</w:t>
            </w:r>
          </w:p>
        </w:tc>
      </w:tr>
    </w:tbl>
    <w:p w:rsidR="00C52DC3" w:rsidRDefault="00C52DC3" w:rsidP="006272FF">
      <w:pPr>
        <w:jc w:val="both"/>
        <w:rPr>
          <w:lang w:val="en-US"/>
        </w:rPr>
      </w:pPr>
    </w:p>
    <w:p w:rsidR="00C52DC3" w:rsidRDefault="00C52DC3" w:rsidP="00C52DC3">
      <w:pPr>
        <w:pStyle w:val="TH"/>
        <w:rPr>
          <w:lang w:val="en-US"/>
        </w:rPr>
      </w:pPr>
      <w:r>
        <w:t>Table 7.3A.4-2</w:t>
      </w:r>
      <w:r>
        <w:rPr>
          <w:rFonts w:hint="eastAsia"/>
          <w:lang w:val="en-US"/>
        </w:rPr>
        <w:t>a</w:t>
      </w:r>
      <w:r>
        <w:t xml:space="preserve">: Reference sensitivity exceptions and uplink/downlink configurations due to UL harmonic from a </w:t>
      </w:r>
      <w:r w:rsidRPr="00724F97">
        <w:rPr>
          <w:highlight w:val="yellow"/>
        </w:rPr>
        <w:t>PC2 aggressor NR UL band</w:t>
      </w:r>
      <w:r>
        <w:t xml:space="preserve"> for NR DL CA FR1</w:t>
      </w:r>
      <w:r>
        <w:rPr>
          <w:rFonts w:hint="eastAsia"/>
          <w:lang w:val="en-US"/>
        </w:rPr>
        <w:t xml:space="preserve"> for UE </w:t>
      </w:r>
      <w:r w:rsidRPr="00C52DC3">
        <w:rPr>
          <w:rFonts w:hint="eastAsia"/>
          <w:highlight w:val="yellow"/>
          <w:lang w:val="en-US"/>
        </w:rPr>
        <w:t>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C52DC3" w:rsidTr="003A62A3">
        <w:trPr>
          <w:trHeight w:val="732"/>
          <w:jc w:val="center"/>
        </w:trPr>
        <w:tc>
          <w:tcPr>
            <w:tcW w:w="0" w:type="auto"/>
            <w:vMerge w:val="restart"/>
            <w:vAlign w:val="center"/>
          </w:tcPr>
          <w:p w:rsidR="00C52DC3" w:rsidRDefault="00C52DC3" w:rsidP="003A62A3">
            <w:pPr>
              <w:pStyle w:val="TAH"/>
            </w:pPr>
            <w:r>
              <w:t>UL band</w:t>
            </w:r>
          </w:p>
        </w:tc>
        <w:tc>
          <w:tcPr>
            <w:tcW w:w="0" w:type="auto"/>
            <w:vMerge w:val="restart"/>
            <w:vAlign w:val="center"/>
          </w:tcPr>
          <w:p w:rsidR="00C52DC3" w:rsidRDefault="00C52DC3" w:rsidP="003A62A3">
            <w:pPr>
              <w:pStyle w:val="TAH"/>
            </w:pPr>
            <w:r>
              <w:t>DL band</w:t>
            </w:r>
          </w:p>
        </w:tc>
        <w:tc>
          <w:tcPr>
            <w:tcW w:w="0" w:type="auto"/>
            <w:vAlign w:val="center"/>
          </w:tcPr>
          <w:p w:rsidR="00C52DC3" w:rsidRDefault="00C52DC3" w:rsidP="003A62A3">
            <w:pPr>
              <w:pStyle w:val="TAH"/>
            </w:pPr>
            <w:r>
              <w:t>UL BW</w:t>
            </w:r>
          </w:p>
        </w:tc>
        <w:tc>
          <w:tcPr>
            <w:tcW w:w="0" w:type="auto"/>
            <w:vAlign w:val="center"/>
          </w:tcPr>
          <w:p w:rsidR="00C52DC3" w:rsidRDefault="00C52DC3" w:rsidP="003A62A3">
            <w:pPr>
              <w:pStyle w:val="TAH"/>
            </w:pPr>
            <w:r>
              <w:t>SCS of UL band</w:t>
            </w:r>
          </w:p>
        </w:tc>
        <w:tc>
          <w:tcPr>
            <w:tcW w:w="0" w:type="auto"/>
            <w:vAlign w:val="center"/>
          </w:tcPr>
          <w:p w:rsidR="00C52DC3" w:rsidRDefault="00C52DC3" w:rsidP="003A62A3">
            <w:pPr>
              <w:pStyle w:val="TAH"/>
            </w:pPr>
            <w:r>
              <w:t>UL RB Allocation</w:t>
            </w:r>
          </w:p>
        </w:tc>
        <w:tc>
          <w:tcPr>
            <w:tcW w:w="0" w:type="auto"/>
            <w:vAlign w:val="center"/>
          </w:tcPr>
          <w:p w:rsidR="00C52DC3" w:rsidRDefault="00C52DC3" w:rsidP="003A62A3">
            <w:pPr>
              <w:pStyle w:val="TAH"/>
            </w:pPr>
            <w:r>
              <w:t>DL BW</w:t>
            </w:r>
          </w:p>
        </w:tc>
        <w:tc>
          <w:tcPr>
            <w:tcW w:w="0" w:type="auto"/>
            <w:vAlign w:val="center"/>
          </w:tcPr>
          <w:p w:rsidR="00C52DC3" w:rsidRDefault="00C52DC3" w:rsidP="003A62A3">
            <w:pPr>
              <w:pStyle w:val="TAH"/>
            </w:pPr>
            <w:r>
              <w:t>MSD</w:t>
            </w:r>
          </w:p>
        </w:tc>
        <w:tc>
          <w:tcPr>
            <w:tcW w:w="0" w:type="auto"/>
            <w:vMerge w:val="restart"/>
            <w:vAlign w:val="center"/>
          </w:tcPr>
          <w:p w:rsidR="00C52DC3" w:rsidRDefault="00C52DC3" w:rsidP="003A62A3">
            <w:pPr>
              <w:pStyle w:val="TAH"/>
            </w:pPr>
            <w:r>
              <w:t>UL/DL fc condition</w:t>
            </w:r>
          </w:p>
        </w:tc>
        <w:tc>
          <w:tcPr>
            <w:tcW w:w="0" w:type="auto"/>
            <w:vMerge w:val="restart"/>
            <w:vAlign w:val="center"/>
          </w:tcPr>
          <w:p w:rsidR="00C52DC3" w:rsidRDefault="00C52DC3" w:rsidP="003A62A3">
            <w:pPr>
              <w:pStyle w:val="TAH"/>
            </w:pPr>
            <w:r>
              <w:t>UL/DL harmonic order</w:t>
            </w:r>
          </w:p>
        </w:tc>
      </w:tr>
      <w:tr w:rsidR="00C52DC3" w:rsidTr="003A62A3">
        <w:trPr>
          <w:trHeight w:val="492"/>
          <w:jc w:val="center"/>
        </w:trPr>
        <w:tc>
          <w:tcPr>
            <w:tcW w:w="0" w:type="auto"/>
            <w:vMerge/>
            <w:vAlign w:val="center"/>
          </w:tcPr>
          <w:p w:rsidR="00C52DC3" w:rsidRDefault="00C52DC3" w:rsidP="003A62A3">
            <w:pPr>
              <w:spacing w:after="0"/>
              <w:rPr>
                <w:rFonts w:ascii="Arial" w:hAnsi="Arial" w:cs="Arial"/>
                <w:b/>
                <w:bCs/>
                <w:sz w:val="18"/>
                <w:szCs w:val="18"/>
              </w:rPr>
            </w:pPr>
          </w:p>
        </w:tc>
        <w:tc>
          <w:tcPr>
            <w:tcW w:w="0" w:type="auto"/>
            <w:vMerge/>
            <w:vAlign w:val="center"/>
          </w:tcPr>
          <w:p w:rsidR="00C52DC3" w:rsidRDefault="00C52DC3" w:rsidP="003A62A3">
            <w:pPr>
              <w:spacing w:after="0"/>
              <w:rPr>
                <w:rFonts w:ascii="Arial" w:hAnsi="Arial" w:cs="Arial"/>
                <w:b/>
                <w:bCs/>
                <w:sz w:val="18"/>
                <w:szCs w:val="18"/>
              </w:rPr>
            </w:pPr>
          </w:p>
        </w:tc>
        <w:tc>
          <w:tcPr>
            <w:tcW w:w="0" w:type="auto"/>
            <w:vAlign w:val="center"/>
          </w:tcPr>
          <w:p w:rsidR="00C52DC3" w:rsidRDefault="00C52DC3" w:rsidP="003A62A3">
            <w:pPr>
              <w:pStyle w:val="TAH"/>
            </w:pPr>
            <w:r>
              <w:t>(MHz)</w:t>
            </w:r>
          </w:p>
        </w:tc>
        <w:tc>
          <w:tcPr>
            <w:tcW w:w="0" w:type="auto"/>
            <w:vAlign w:val="center"/>
          </w:tcPr>
          <w:p w:rsidR="00C52DC3" w:rsidRDefault="00C52DC3" w:rsidP="003A62A3">
            <w:pPr>
              <w:pStyle w:val="TAH"/>
            </w:pPr>
            <w:r>
              <w:t>(kHz)</w:t>
            </w:r>
          </w:p>
        </w:tc>
        <w:tc>
          <w:tcPr>
            <w:tcW w:w="0" w:type="auto"/>
            <w:vAlign w:val="center"/>
          </w:tcPr>
          <w:p w:rsidR="00C52DC3" w:rsidRDefault="00C52DC3" w:rsidP="003A62A3">
            <w:pPr>
              <w:pStyle w:val="TAH"/>
            </w:pPr>
            <w:r>
              <w:t>L</w:t>
            </w:r>
            <w:r>
              <w:rPr>
                <w:vertAlign w:val="subscript"/>
              </w:rPr>
              <w:t>CRB</w:t>
            </w:r>
          </w:p>
        </w:tc>
        <w:tc>
          <w:tcPr>
            <w:tcW w:w="0" w:type="auto"/>
            <w:vAlign w:val="center"/>
          </w:tcPr>
          <w:p w:rsidR="00C52DC3" w:rsidRDefault="00C52DC3" w:rsidP="003A62A3">
            <w:pPr>
              <w:pStyle w:val="TAH"/>
            </w:pPr>
            <w:r>
              <w:t>(MHz)</w:t>
            </w:r>
          </w:p>
        </w:tc>
        <w:tc>
          <w:tcPr>
            <w:tcW w:w="0" w:type="auto"/>
            <w:vAlign w:val="center"/>
          </w:tcPr>
          <w:p w:rsidR="00C52DC3" w:rsidRDefault="00C52DC3" w:rsidP="003A62A3">
            <w:pPr>
              <w:pStyle w:val="TAH"/>
            </w:pPr>
            <w:r>
              <w:t>(dB)</w:t>
            </w:r>
          </w:p>
        </w:tc>
        <w:tc>
          <w:tcPr>
            <w:tcW w:w="0" w:type="auto"/>
            <w:vMerge/>
            <w:vAlign w:val="center"/>
          </w:tcPr>
          <w:p w:rsidR="00C52DC3" w:rsidRDefault="00C52DC3" w:rsidP="003A62A3">
            <w:pPr>
              <w:spacing w:after="0"/>
              <w:rPr>
                <w:rFonts w:ascii="Arial" w:hAnsi="Arial" w:cs="Arial"/>
                <w:b/>
                <w:bCs/>
                <w:sz w:val="18"/>
                <w:szCs w:val="18"/>
              </w:rPr>
            </w:pPr>
          </w:p>
        </w:tc>
        <w:tc>
          <w:tcPr>
            <w:tcW w:w="0" w:type="auto"/>
            <w:vMerge/>
            <w:vAlign w:val="center"/>
          </w:tcPr>
          <w:p w:rsidR="00C52DC3" w:rsidRDefault="00C52DC3" w:rsidP="003A62A3">
            <w:pPr>
              <w:spacing w:after="0"/>
              <w:rPr>
                <w:rFonts w:ascii="Arial" w:hAnsi="Arial" w:cs="Arial"/>
                <w:b/>
                <w:bCs/>
                <w:sz w:val="18"/>
                <w:szCs w:val="18"/>
              </w:rPr>
            </w:pPr>
          </w:p>
        </w:tc>
      </w:tr>
      <w:tr w:rsidR="00C52DC3" w:rsidTr="003A62A3">
        <w:trPr>
          <w:trHeight w:val="300"/>
          <w:jc w:val="center"/>
        </w:trPr>
        <w:tc>
          <w:tcPr>
            <w:tcW w:w="0" w:type="auto"/>
            <w:vAlign w:val="center"/>
          </w:tcPr>
          <w:p w:rsidR="00C52DC3" w:rsidRDefault="00C52DC3" w:rsidP="003A62A3">
            <w:pPr>
              <w:pStyle w:val="TAC"/>
            </w:pPr>
            <w:r>
              <w:rPr>
                <w:rFonts w:hint="eastAsia"/>
              </w:rPr>
              <w:lastRenderedPageBreak/>
              <w:t>n</w:t>
            </w:r>
            <w:r>
              <w:t>3</w:t>
            </w:r>
          </w:p>
        </w:tc>
        <w:tc>
          <w:tcPr>
            <w:tcW w:w="0" w:type="auto"/>
            <w:vAlign w:val="center"/>
          </w:tcPr>
          <w:p w:rsidR="00C52DC3" w:rsidRDefault="00C52DC3" w:rsidP="003A62A3">
            <w:pPr>
              <w:pStyle w:val="TAC"/>
            </w:pPr>
            <w:r>
              <w:rPr>
                <w:rFonts w:hint="eastAsia"/>
              </w:rPr>
              <w:t>n</w:t>
            </w:r>
            <w:r>
              <w:t>78</w:t>
            </w:r>
          </w:p>
        </w:tc>
        <w:tc>
          <w:tcPr>
            <w:tcW w:w="0" w:type="auto"/>
            <w:noWrap/>
            <w:vAlign w:val="center"/>
          </w:tcPr>
          <w:p w:rsidR="00C52DC3" w:rsidRDefault="00C52DC3" w:rsidP="003A62A3">
            <w:pPr>
              <w:pStyle w:val="TAC"/>
              <w:rPr>
                <w:bCs/>
              </w:rPr>
            </w:pPr>
            <w:r>
              <w:rPr>
                <w:bCs/>
              </w:rPr>
              <w:t>5</w:t>
            </w:r>
          </w:p>
        </w:tc>
        <w:tc>
          <w:tcPr>
            <w:tcW w:w="0" w:type="auto"/>
            <w:vAlign w:val="center"/>
          </w:tcPr>
          <w:p w:rsidR="00C52DC3" w:rsidRDefault="00C52DC3" w:rsidP="003A62A3">
            <w:pPr>
              <w:pStyle w:val="TAC"/>
              <w:rPr>
                <w:bCs/>
              </w:rPr>
            </w:pPr>
            <w:r>
              <w:rPr>
                <w:bCs/>
              </w:rPr>
              <w:t>15</w:t>
            </w:r>
          </w:p>
        </w:tc>
        <w:tc>
          <w:tcPr>
            <w:tcW w:w="0" w:type="auto"/>
            <w:noWrap/>
            <w:vAlign w:val="center"/>
          </w:tcPr>
          <w:p w:rsidR="00C52DC3" w:rsidRDefault="00C52DC3" w:rsidP="003A62A3">
            <w:pPr>
              <w:pStyle w:val="TAC"/>
              <w:rPr>
                <w:bCs/>
              </w:rPr>
            </w:pPr>
            <w:r>
              <w:rPr>
                <w:bCs/>
              </w:rPr>
              <w:t>25 (</w:t>
            </w:r>
            <w:proofErr w:type="spellStart"/>
            <w:r>
              <w:rPr>
                <w:bCs/>
              </w:rPr>
              <w:t>RBstart</w:t>
            </w:r>
            <w:proofErr w:type="spellEnd"/>
            <w:r>
              <w:rPr>
                <w:bCs/>
              </w:rPr>
              <w:t>=0)</w:t>
            </w:r>
          </w:p>
        </w:tc>
        <w:tc>
          <w:tcPr>
            <w:tcW w:w="0" w:type="auto"/>
            <w:noWrap/>
            <w:vAlign w:val="center"/>
          </w:tcPr>
          <w:p w:rsidR="00C52DC3" w:rsidRDefault="00C52DC3" w:rsidP="003A62A3">
            <w:pPr>
              <w:pStyle w:val="TAC"/>
            </w:pPr>
            <w:r>
              <w:t>10</w:t>
            </w:r>
          </w:p>
        </w:tc>
        <w:tc>
          <w:tcPr>
            <w:tcW w:w="0" w:type="auto"/>
            <w:noWrap/>
            <w:vAlign w:val="center"/>
          </w:tcPr>
          <w:p w:rsidR="00C52DC3" w:rsidRDefault="00C52DC3" w:rsidP="003A62A3">
            <w:pPr>
              <w:pStyle w:val="TAC"/>
              <w:rPr>
                <w:bCs/>
                <w:lang w:val="en-US"/>
              </w:rPr>
            </w:pPr>
            <w:r>
              <w:rPr>
                <w:bCs/>
              </w:rPr>
              <w:t>2</w:t>
            </w:r>
            <w:r>
              <w:rPr>
                <w:rFonts w:hint="eastAsia"/>
                <w:bCs/>
                <w:lang w:val="en-US"/>
              </w:rPr>
              <w:t>7.1</w:t>
            </w:r>
          </w:p>
        </w:tc>
        <w:tc>
          <w:tcPr>
            <w:tcW w:w="0" w:type="auto"/>
            <w:vAlign w:val="center"/>
          </w:tcPr>
          <w:p w:rsidR="00C52DC3" w:rsidRDefault="00C52DC3" w:rsidP="003A62A3">
            <w:pPr>
              <w:pStyle w:val="TAC"/>
              <w:rPr>
                <w:bCs/>
              </w:rPr>
            </w:pPr>
            <w:r>
              <w:rPr>
                <w:bCs/>
              </w:rPr>
              <w:t>NOTE 2</w:t>
            </w:r>
          </w:p>
        </w:tc>
        <w:tc>
          <w:tcPr>
            <w:tcW w:w="0" w:type="auto"/>
            <w:vAlign w:val="center"/>
          </w:tcPr>
          <w:p w:rsidR="00C52DC3" w:rsidRDefault="00C52DC3" w:rsidP="003A62A3">
            <w:pPr>
              <w:pStyle w:val="TAC"/>
              <w:rPr>
                <w:bCs/>
              </w:rPr>
            </w:pPr>
            <w:r>
              <w:rPr>
                <w:bCs/>
              </w:rPr>
              <w:t>UL2/DL1</w:t>
            </w:r>
          </w:p>
          <w:p w:rsidR="00C52DC3" w:rsidRDefault="00C52DC3" w:rsidP="003A62A3">
            <w:pPr>
              <w:pStyle w:val="TAC"/>
              <w:rPr>
                <w:bCs/>
              </w:rPr>
            </w:pPr>
            <w:r>
              <w:rPr>
                <w:bCs/>
              </w:rPr>
              <w:t>direct-hit</w:t>
            </w:r>
          </w:p>
        </w:tc>
      </w:tr>
      <w:tr w:rsidR="00C52DC3" w:rsidTr="003A62A3">
        <w:trPr>
          <w:trHeight w:val="300"/>
          <w:jc w:val="center"/>
        </w:trPr>
        <w:tc>
          <w:tcPr>
            <w:tcW w:w="0" w:type="auto"/>
            <w:vAlign w:val="center"/>
          </w:tcPr>
          <w:p w:rsidR="00C52DC3" w:rsidRDefault="00C52DC3" w:rsidP="003A62A3">
            <w:pPr>
              <w:pStyle w:val="TAC"/>
            </w:pPr>
            <w:r>
              <w:rPr>
                <w:rFonts w:hint="eastAsia"/>
              </w:rPr>
              <w:t>n</w:t>
            </w:r>
            <w:r>
              <w:t>3</w:t>
            </w:r>
          </w:p>
        </w:tc>
        <w:tc>
          <w:tcPr>
            <w:tcW w:w="0" w:type="auto"/>
            <w:vAlign w:val="center"/>
          </w:tcPr>
          <w:p w:rsidR="00C52DC3" w:rsidRDefault="00C52DC3" w:rsidP="003A62A3">
            <w:pPr>
              <w:pStyle w:val="TAC"/>
            </w:pPr>
            <w:r>
              <w:rPr>
                <w:rFonts w:hint="eastAsia"/>
              </w:rPr>
              <w:t>n</w:t>
            </w:r>
            <w:r>
              <w:t>78</w:t>
            </w:r>
          </w:p>
        </w:tc>
        <w:tc>
          <w:tcPr>
            <w:tcW w:w="0" w:type="auto"/>
            <w:noWrap/>
            <w:vAlign w:val="center"/>
          </w:tcPr>
          <w:p w:rsidR="00C52DC3" w:rsidRDefault="00C52DC3" w:rsidP="003A62A3">
            <w:pPr>
              <w:pStyle w:val="TAC"/>
              <w:rPr>
                <w:bCs/>
              </w:rPr>
            </w:pPr>
            <w:r>
              <w:rPr>
                <w:bCs/>
              </w:rPr>
              <w:t>10</w:t>
            </w:r>
          </w:p>
        </w:tc>
        <w:tc>
          <w:tcPr>
            <w:tcW w:w="0" w:type="auto"/>
            <w:vAlign w:val="center"/>
          </w:tcPr>
          <w:p w:rsidR="00C52DC3" w:rsidRDefault="00C52DC3" w:rsidP="003A62A3">
            <w:pPr>
              <w:pStyle w:val="TAC"/>
              <w:rPr>
                <w:bCs/>
              </w:rPr>
            </w:pPr>
            <w:r>
              <w:rPr>
                <w:bCs/>
              </w:rPr>
              <w:t>15</w:t>
            </w:r>
          </w:p>
        </w:tc>
        <w:tc>
          <w:tcPr>
            <w:tcW w:w="0" w:type="auto"/>
            <w:noWrap/>
            <w:vAlign w:val="center"/>
          </w:tcPr>
          <w:p w:rsidR="00C52DC3" w:rsidRDefault="00C52DC3" w:rsidP="003A62A3">
            <w:pPr>
              <w:pStyle w:val="TAC"/>
              <w:rPr>
                <w:bCs/>
              </w:rPr>
            </w:pPr>
            <w:r>
              <w:rPr>
                <w:bCs/>
              </w:rPr>
              <w:t>50 (</w:t>
            </w:r>
            <w:proofErr w:type="spellStart"/>
            <w:r>
              <w:rPr>
                <w:bCs/>
              </w:rPr>
              <w:t>RBstart</w:t>
            </w:r>
            <w:proofErr w:type="spellEnd"/>
            <w:r>
              <w:rPr>
                <w:bCs/>
              </w:rPr>
              <w:t>=0)</w:t>
            </w:r>
          </w:p>
        </w:tc>
        <w:tc>
          <w:tcPr>
            <w:tcW w:w="0" w:type="auto"/>
            <w:noWrap/>
            <w:vAlign w:val="center"/>
          </w:tcPr>
          <w:p w:rsidR="00C52DC3" w:rsidRDefault="00C52DC3" w:rsidP="003A62A3">
            <w:pPr>
              <w:pStyle w:val="TAC"/>
            </w:pPr>
            <w:r>
              <w:t>100</w:t>
            </w:r>
          </w:p>
        </w:tc>
        <w:tc>
          <w:tcPr>
            <w:tcW w:w="0" w:type="auto"/>
            <w:noWrap/>
            <w:vAlign w:val="center"/>
          </w:tcPr>
          <w:p w:rsidR="00C52DC3" w:rsidRDefault="00C52DC3" w:rsidP="003A62A3">
            <w:pPr>
              <w:pStyle w:val="TAC"/>
              <w:rPr>
                <w:bCs/>
                <w:lang w:val="en-US"/>
              </w:rPr>
            </w:pPr>
            <w:r>
              <w:rPr>
                <w:bCs/>
              </w:rPr>
              <w:t>1</w:t>
            </w:r>
            <w:r>
              <w:rPr>
                <w:rFonts w:hint="eastAsia"/>
                <w:bCs/>
                <w:lang w:val="en-US"/>
              </w:rPr>
              <w:t>6.6</w:t>
            </w:r>
          </w:p>
        </w:tc>
        <w:tc>
          <w:tcPr>
            <w:tcW w:w="0" w:type="auto"/>
            <w:vAlign w:val="center"/>
          </w:tcPr>
          <w:p w:rsidR="00C52DC3" w:rsidRDefault="00C52DC3" w:rsidP="003A62A3">
            <w:pPr>
              <w:pStyle w:val="TAC"/>
              <w:rPr>
                <w:bCs/>
              </w:rPr>
            </w:pPr>
            <w:r>
              <w:rPr>
                <w:bCs/>
              </w:rPr>
              <w:t>NOTE 2</w:t>
            </w:r>
          </w:p>
        </w:tc>
        <w:tc>
          <w:tcPr>
            <w:tcW w:w="0" w:type="auto"/>
            <w:vAlign w:val="center"/>
          </w:tcPr>
          <w:p w:rsidR="00C52DC3" w:rsidRDefault="00C52DC3" w:rsidP="003A62A3">
            <w:pPr>
              <w:pStyle w:val="TAC"/>
              <w:rPr>
                <w:bCs/>
              </w:rPr>
            </w:pPr>
            <w:r>
              <w:rPr>
                <w:bCs/>
              </w:rPr>
              <w:t>UL2/DL1</w:t>
            </w:r>
          </w:p>
          <w:p w:rsidR="00C52DC3" w:rsidRDefault="00C52DC3" w:rsidP="003A62A3">
            <w:pPr>
              <w:pStyle w:val="TAC"/>
              <w:rPr>
                <w:bCs/>
              </w:rPr>
            </w:pPr>
            <w:r>
              <w:rPr>
                <w:bCs/>
              </w:rPr>
              <w:t>direct-hit</w:t>
            </w:r>
          </w:p>
        </w:tc>
      </w:tr>
    </w:tbl>
    <w:p w:rsidR="00C52DC3" w:rsidRPr="00C52DC3" w:rsidRDefault="00C52DC3" w:rsidP="006272FF">
      <w:pPr>
        <w:jc w:val="both"/>
        <w:rPr>
          <w:lang w:val="en-US"/>
        </w:rPr>
      </w:pPr>
    </w:p>
    <w:p w:rsidR="00EE0F7E" w:rsidRDefault="00654E83" w:rsidP="006272FF">
      <w:pPr>
        <w:jc w:val="both"/>
        <w:rPr>
          <w:lang w:val="en-US"/>
        </w:rPr>
      </w:pPr>
      <w:r>
        <w:rPr>
          <w:lang w:val="en-US"/>
        </w:rPr>
        <w:t xml:space="preserve">Though the combination is not exactly the same as that proposed in the WID for 3T, it is expected that 3T for CA could be proposed later. The TP for </w:t>
      </w:r>
      <w:r w:rsidR="00AC2B5F">
        <w:rPr>
          <w:lang w:val="en-US"/>
        </w:rPr>
        <w:t xml:space="preserve">2Tx </w:t>
      </w:r>
      <w:r>
        <w:rPr>
          <w:lang w:val="en-US"/>
        </w:rPr>
        <w:t xml:space="preserve">n3 with harmonic MSD was approved in last meeting under the FDD basket WI [2]. </w:t>
      </w:r>
      <w:r w:rsidR="00073E14">
        <w:rPr>
          <w:lang w:val="en-US"/>
        </w:rPr>
        <w:t xml:space="preserve">When the </w:t>
      </w:r>
      <w:r w:rsidR="00AC2B5F">
        <w:rPr>
          <w:lang w:val="en-US"/>
        </w:rPr>
        <w:t xml:space="preserve">harmonic </w:t>
      </w:r>
      <w:r w:rsidR="00073E14">
        <w:rPr>
          <w:lang w:val="en-US"/>
        </w:rPr>
        <w:t xml:space="preserve">MSD analysis for </w:t>
      </w:r>
      <w:r w:rsidR="00AC2B5F">
        <w:rPr>
          <w:lang w:val="en-US"/>
        </w:rPr>
        <w:t xml:space="preserve">PC2 </w:t>
      </w:r>
      <w:r w:rsidR="00073E14">
        <w:rPr>
          <w:lang w:val="en-US"/>
        </w:rPr>
        <w:t xml:space="preserve">n78 2Tx is finished, it is natural to have requirements specified in a separate table for UE supporting Tx diversity. </w:t>
      </w:r>
    </w:p>
    <w:p w:rsidR="00073E14" w:rsidRDefault="008F3D39" w:rsidP="006272FF">
      <w:pPr>
        <w:jc w:val="both"/>
        <w:rPr>
          <w:lang w:val="en-US"/>
        </w:rPr>
      </w:pPr>
      <w:r>
        <w:rPr>
          <w:rFonts w:hint="eastAsia"/>
          <w:lang w:val="en-US"/>
        </w:rPr>
        <w:t>It</w:t>
      </w:r>
      <w:r>
        <w:rPr>
          <w:lang w:val="en-US"/>
        </w:rPr>
        <w:t xml:space="preserve"> is also noticed that </w:t>
      </w:r>
      <w:r w:rsidR="00724F97">
        <w:rPr>
          <w:lang w:val="en-US"/>
        </w:rPr>
        <w:t xml:space="preserve">PC3 UE with 2Tx in some bands for some 3T band combinations are considered in the WID as well. In that case, we also think that separate tables would be a better choice. </w:t>
      </w:r>
    </w:p>
    <w:p w:rsidR="00724F97" w:rsidRDefault="00724F97" w:rsidP="00724F97">
      <w:pPr>
        <w:jc w:val="both"/>
        <w:rPr>
          <w:b/>
          <w:i/>
          <w:lang w:val="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If new MSD values are to be defined for 3Tx band combinations, separate tables should be considered in the specification.</w:t>
      </w:r>
    </w:p>
    <w:p w:rsidR="00724F97" w:rsidRPr="00724F97" w:rsidRDefault="00E001B4" w:rsidP="00E001B4">
      <w:pPr>
        <w:pStyle w:val="Heading2"/>
        <w:tabs>
          <w:tab w:val="clear" w:pos="681"/>
          <w:tab w:val="num" w:pos="397"/>
        </w:tabs>
        <w:spacing w:after="240"/>
        <w:ind w:left="0"/>
        <w:rPr>
          <w:lang w:val="en-US" w:eastAsia="zh-CN"/>
        </w:rPr>
      </w:pPr>
      <w:r w:rsidRPr="00E001B4">
        <w:rPr>
          <w:rFonts w:hint="eastAsia"/>
          <w:lang w:val="en-US" w:eastAsia="zh-CN"/>
        </w:rPr>
        <w:t>Δ</w:t>
      </w:r>
      <w:proofErr w:type="spellStart"/>
      <w:r w:rsidRPr="00E001B4">
        <w:rPr>
          <w:lang w:val="en-US" w:eastAsia="zh-CN"/>
        </w:rPr>
        <w:t>TIB,c</w:t>
      </w:r>
      <w:proofErr w:type="spellEnd"/>
      <w:r w:rsidRPr="00E001B4">
        <w:rPr>
          <w:lang w:val="en-US" w:eastAsia="zh-CN"/>
        </w:rPr>
        <w:t xml:space="preserve"> /</w:t>
      </w:r>
      <w:proofErr w:type="spellStart"/>
      <w:r w:rsidRPr="00E001B4">
        <w:rPr>
          <w:lang w:val="en-US" w:eastAsia="zh-CN"/>
        </w:rPr>
        <w:t>ΔRIB,c</w:t>
      </w:r>
      <w:proofErr w:type="spellEnd"/>
      <w:r w:rsidRPr="00E001B4">
        <w:rPr>
          <w:lang w:val="en-US" w:eastAsia="zh-CN"/>
        </w:rPr>
        <w:t xml:space="preserve"> for 3Tx with inter-band UL CA/EN-DC</w:t>
      </w:r>
    </w:p>
    <w:p w:rsidR="00EE0F7E" w:rsidRDefault="00BE6C75" w:rsidP="006272FF">
      <w:pPr>
        <w:jc w:val="both"/>
        <w:rPr>
          <w:lang w:val="en-US"/>
        </w:rPr>
      </w:pPr>
      <w:r>
        <w:rPr>
          <w:lang w:val="en-US"/>
        </w:rPr>
        <w:t xml:space="preserve">The delta Tib and Rib </w:t>
      </w:r>
      <w:r w:rsidR="001166AB">
        <w:rPr>
          <w:lang w:val="en-US"/>
        </w:rPr>
        <w:t xml:space="preserve">values </w:t>
      </w:r>
      <w:r>
        <w:rPr>
          <w:lang w:val="en-US"/>
        </w:rPr>
        <w:t xml:space="preserve">reflect the insertion loss </w:t>
      </w:r>
      <w:r w:rsidR="00F803FB">
        <w:rPr>
          <w:lang w:val="en-US"/>
        </w:rPr>
        <w:t xml:space="preserve">of combining the operating bands for a </w:t>
      </w:r>
      <w:r w:rsidR="00F21856">
        <w:rPr>
          <w:lang w:val="en-US"/>
        </w:rPr>
        <w:t xml:space="preserve">specific </w:t>
      </w:r>
      <w:r w:rsidR="00F803FB">
        <w:rPr>
          <w:lang w:val="en-US"/>
        </w:rPr>
        <w:t xml:space="preserve">combination. </w:t>
      </w:r>
      <w:r w:rsidR="00DB6129">
        <w:rPr>
          <w:lang w:val="en-US"/>
        </w:rPr>
        <w:t>As illustrated in Figure 1</w:t>
      </w:r>
      <w:r w:rsidR="00DB6129">
        <w:rPr>
          <w:rFonts w:hint="eastAsia"/>
          <w:lang w:val="en-US"/>
        </w:rPr>
        <w:t>~</w:t>
      </w:r>
      <w:r w:rsidR="00DB6129">
        <w:rPr>
          <w:lang w:val="en-US"/>
        </w:rPr>
        <w:t xml:space="preserve">3 </w:t>
      </w:r>
      <w:r w:rsidR="00DB6129">
        <w:rPr>
          <w:rFonts w:hint="eastAsia"/>
          <w:lang w:val="en-US"/>
        </w:rPr>
        <w:t>in</w:t>
      </w:r>
      <w:r w:rsidR="00DB6129">
        <w:rPr>
          <w:lang w:val="en-US"/>
        </w:rPr>
        <w:t xml:space="preserve"> section 2.1, we didn’t see </w:t>
      </w:r>
      <w:r w:rsidR="004A189D">
        <w:rPr>
          <w:lang w:val="en-US"/>
        </w:rPr>
        <w:t>big difference for the IL for the RF component to support 3Tx, thus, the same delta Tib and Rib for 2Tx of the same band combination can be reu</w:t>
      </w:r>
      <w:r w:rsidR="00681965">
        <w:rPr>
          <w:lang w:val="en-US"/>
        </w:rPr>
        <w:t>s</w:t>
      </w:r>
      <w:r w:rsidR="004A189D">
        <w:rPr>
          <w:lang w:val="en-US"/>
        </w:rPr>
        <w:t>ed.</w:t>
      </w:r>
    </w:p>
    <w:p w:rsidR="004A189D" w:rsidRDefault="004A189D" w:rsidP="004A189D">
      <w:pPr>
        <w:jc w:val="both"/>
        <w:rPr>
          <w:b/>
          <w:i/>
          <w:lang w:val="en-US"/>
        </w:rPr>
      </w:pPr>
      <w:r w:rsidRPr="005369EE">
        <w:rPr>
          <w:b/>
          <w:i/>
          <w:lang w:val="en-US" w:eastAsia="en-US"/>
        </w:rPr>
        <w:t xml:space="preserve">Proposal </w:t>
      </w:r>
      <w:r>
        <w:rPr>
          <w:b/>
          <w:i/>
          <w:lang w:val="en-US" w:eastAsia="en-US"/>
        </w:rPr>
        <w:t>3</w:t>
      </w:r>
      <w:r w:rsidRPr="005369EE">
        <w:rPr>
          <w:b/>
          <w:i/>
          <w:lang w:val="en-US" w:eastAsia="en-US"/>
        </w:rPr>
        <w:t>:</w:t>
      </w:r>
      <w:r>
        <w:rPr>
          <w:b/>
          <w:i/>
          <w:lang w:val="en-US" w:eastAsia="en-US"/>
        </w:rPr>
        <w:t xml:space="preserve"> Existing delta Tib and Rib values are also applicable for the two-band combination with 3Tx.</w:t>
      </w:r>
    </w:p>
    <w:p w:rsidR="00E001B4" w:rsidRPr="00E001B4" w:rsidRDefault="00E001B4" w:rsidP="00E001B4">
      <w:pPr>
        <w:pStyle w:val="Heading2"/>
        <w:tabs>
          <w:tab w:val="clear" w:pos="681"/>
          <w:tab w:val="num" w:pos="397"/>
        </w:tabs>
        <w:spacing w:after="240"/>
        <w:ind w:left="0"/>
        <w:rPr>
          <w:lang w:val="en-US" w:eastAsia="zh-CN"/>
        </w:rPr>
      </w:pPr>
      <w:r>
        <w:rPr>
          <w:rFonts w:eastAsiaTheme="minorEastAsia" w:hint="eastAsia"/>
          <w:lang w:val="en-US" w:eastAsia="zh-CN"/>
        </w:rPr>
        <w:t>U</w:t>
      </w:r>
      <w:r>
        <w:rPr>
          <w:rFonts w:eastAsiaTheme="minorEastAsia"/>
          <w:lang w:val="en-US" w:eastAsia="zh-CN"/>
        </w:rPr>
        <w:t>E capability issues</w:t>
      </w:r>
    </w:p>
    <w:p w:rsidR="00E001B4" w:rsidRDefault="00547DD9" w:rsidP="006272FF">
      <w:pPr>
        <w:jc w:val="both"/>
        <w:rPr>
          <w:lang w:val="en-US"/>
        </w:rPr>
      </w:pPr>
      <w:r>
        <w:rPr>
          <w:lang w:val="en-US"/>
        </w:rPr>
        <w:t xml:space="preserve">There are two issues related to UE capability were discussed in last meeting. </w:t>
      </w:r>
    </w:p>
    <w:p w:rsidR="00547DD9" w:rsidRDefault="00547DD9" w:rsidP="00914773">
      <w:pPr>
        <w:pStyle w:val="ListParagraph"/>
        <w:numPr>
          <w:ilvl w:val="0"/>
          <w:numId w:val="11"/>
        </w:numPr>
        <w:ind w:firstLineChars="0"/>
        <w:rPr>
          <w:rFonts w:ascii="Times New Roman" w:hAnsi="Times New Roman"/>
          <w:sz w:val="20"/>
          <w:lang w:val="en-US"/>
        </w:rPr>
      </w:pPr>
      <w:r w:rsidRPr="00547DD9">
        <w:rPr>
          <w:rFonts w:ascii="Times New Roman" w:hAnsi="Times New Roman"/>
          <w:sz w:val="20"/>
          <w:lang w:val="en-US"/>
        </w:rPr>
        <w:t>whether a new UE capability for 3Tx transmission in 2 bands is needed</w:t>
      </w:r>
    </w:p>
    <w:p w:rsidR="00547DD9" w:rsidRPr="00547DD9" w:rsidRDefault="00547DD9" w:rsidP="00914773">
      <w:pPr>
        <w:pStyle w:val="ListParagraph"/>
        <w:numPr>
          <w:ilvl w:val="0"/>
          <w:numId w:val="11"/>
        </w:numPr>
        <w:spacing w:afterLines="50" w:after="120"/>
        <w:ind w:firstLineChars="0"/>
        <w:rPr>
          <w:rFonts w:ascii="Times New Roman" w:hAnsi="Times New Roman"/>
          <w:sz w:val="20"/>
          <w:lang w:val="en-US"/>
        </w:rPr>
      </w:pPr>
      <w:r w:rsidRPr="00547DD9">
        <w:rPr>
          <w:rFonts w:ascii="Times New Roman" w:hAnsi="Times New Roman"/>
          <w:sz w:val="20"/>
          <w:lang w:val="en-US"/>
        </w:rPr>
        <w:t>whether 3Tx capable UE can support Tx switching feature</w:t>
      </w:r>
    </w:p>
    <w:p w:rsidR="00547DD9" w:rsidRDefault="00547DD9" w:rsidP="006272FF">
      <w:pPr>
        <w:jc w:val="both"/>
        <w:rPr>
          <w:lang w:val="en-US"/>
        </w:rPr>
      </w:pPr>
      <w:r>
        <w:rPr>
          <w:rFonts w:hint="eastAsia"/>
          <w:lang w:val="en-US"/>
        </w:rPr>
        <w:t>F</w:t>
      </w:r>
      <w:r>
        <w:rPr>
          <w:lang w:val="en-US"/>
        </w:rPr>
        <w:t xml:space="preserve">or first issue, though the requirements could be different from 3T and 2T, e.g. MSD, we see no obvious benefit to report a new UE capability for UE supporting 3Tx for a 2-band combination. </w:t>
      </w:r>
    </w:p>
    <w:p w:rsidR="00547DD9" w:rsidRDefault="00547DD9" w:rsidP="006272FF">
      <w:pPr>
        <w:jc w:val="both"/>
        <w:rPr>
          <w:lang w:val="en-US"/>
        </w:rPr>
      </w:pPr>
      <w:r>
        <w:rPr>
          <w:rFonts w:hint="eastAsia"/>
          <w:lang w:val="en-US"/>
        </w:rPr>
        <w:t>A</w:t>
      </w:r>
      <w:r>
        <w:rPr>
          <w:lang w:val="en-US"/>
        </w:rPr>
        <w:t xml:space="preserve">s for Tx switching, so </w:t>
      </w:r>
      <w:proofErr w:type="gramStart"/>
      <w:r>
        <w:rPr>
          <w:lang w:val="en-US"/>
        </w:rPr>
        <w:t>far</w:t>
      </w:r>
      <w:proofErr w:type="gramEnd"/>
      <w:r>
        <w:rPr>
          <w:lang w:val="en-US"/>
        </w:rPr>
        <w:t xml:space="preserve"> we think there is no necessity to report switching period UE capability. If issues are identified later, we are open to have further discussion.</w:t>
      </w:r>
    </w:p>
    <w:p w:rsidR="00547DD9" w:rsidRPr="00547DD9" w:rsidRDefault="00F02722" w:rsidP="006272FF">
      <w:pPr>
        <w:jc w:val="both"/>
        <w:rPr>
          <w:lang w:val="en-US"/>
        </w:rPr>
      </w:pPr>
      <w:r w:rsidRPr="005369EE">
        <w:rPr>
          <w:b/>
          <w:i/>
          <w:lang w:val="en-US" w:eastAsia="en-US"/>
        </w:rPr>
        <w:t xml:space="preserve">Proposal </w:t>
      </w:r>
      <w:r>
        <w:rPr>
          <w:b/>
          <w:i/>
          <w:lang w:val="en-US" w:eastAsia="en-US"/>
        </w:rPr>
        <w:t>4</w:t>
      </w:r>
      <w:r w:rsidRPr="005369EE">
        <w:rPr>
          <w:b/>
          <w:i/>
          <w:lang w:val="en-US" w:eastAsia="en-US"/>
        </w:rPr>
        <w:t>:</w:t>
      </w:r>
      <w:r>
        <w:rPr>
          <w:b/>
          <w:i/>
          <w:lang w:val="en-US" w:eastAsia="en-US"/>
        </w:rPr>
        <w:t xml:space="preserve"> No need to consider new UE capabilities for UE supporting 3Tx for two-band combinations.</w:t>
      </w:r>
    </w:p>
    <w:p w:rsidR="00A33E8E" w:rsidRDefault="00A33E8E" w:rsidP="006272FF">
      <w:pPr>
        <w:pStyle w:val="Heading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r w:rsidR="00F02722">
        <w:t>further consideration for FWA UE supporting 3Tx for two bands.</w:t>
      </w:r>
    </w:p>
    <w:p w:rsidR="00F02722" w:rsidRDefault="00F02722" w:rsidP="00F02722">
      <w:pPr>
        <w:jc w:val="both"/>
        <w:rPr>
          <w:b/>
          <w:i/>
          <w:lang w:val="en-US" w:eastAsia="en-US"/>
        </w:rPr>
      </w:pPr>
      <w:r>
        <w:rPr>
          <w:b/>
          <w:i/>
          <w:lang w:val="en-US" w:eastAsia="en-US"/>
        </w:rPr>
        <w:t xml:space="preserve">Observation 1: For certain band combinations, due to additional paths for non-linearity products, some MSD mechanisms should be re-evaluated. </w:t>
      </w:r>
    </w:p>
    <w:p w:rsidR="00F02722" w:rsidRDefault="00F02722" w:rsidP="00F02722">
      <w:pPr>
        <w:jc w:val="both"/>
        <w:rPr>
          <w:b/>
          <w:i/>
          <w:lang w:val="en-US"/>
        </w:rPr>
      </w:pPr>
      <w:r>
        <w:rPr>
          <w:rFonts w:hint="eastAsia"/>
          <w:b/>
          <w:i/>
          <w:lang w:val="en-US"/>
        </w:rPr>
        <w:t>O</w:t>
      </w:r>
      <w:r>
        <w:rPr>
          <w:b/>
          <w:i/>
          <w:lang w:val="en-US"/>
        </w:rPr>
        <w:t>bservation 2: As the linearity assumptions vary band by band, the MSD values, if needed, should be studied case by case for 3Tx vs 2Tx</w:t>
      </w:r>
      <w:r w:rsidRPr="003C4061">
        <w:rPr>
          <w:b/>
          <w:i/>
          <w:lang w:val="en-US"/>
        </w:rPr>
        <w:t xml:space="preserve"> </w:t>
      </w:r>
      <w:r>
        <w:rPr>
          <w:b/>
          <w:i/>
          <w:lang w:val="en-US"/>
        </w:rPr>
        <w:t xml:space="preserve">band combinations. </w:t>
      </w:r>
    </w:p>
    <w:p w:rsidR="00F02722" w:rsidRDefault="00F02722" w:rsidP="00F02722">
      <w:pPr>
        <w:jc w:val="both"/>
        <w:rPr>
          <w:b/>
          <w:i/>
          <w:lang w:val="en-US"/>
        </w:rPr>
      </w:pPr>
      <w:r w:rsidRPr="005369EE">
        <w:rPr>
          <w:b/>
          <w:i/>
          <w:lang w:val="en-US" w:eastAsia="en-US"/>
        </w:rPr>
        <w:t>Proposal 1:</w:t>
      </w:r>
      <w:r>
        <w:rPr>
          <w:b/>
          <w:i/>
          <w:lang w:val="en-US" w:eastAsia="en-US"/>
        </w:rPr>
        <w:t xml:space="preserve"> MSD analysis should be performed case by case for the proposed band combinations with 3</w:t>
      </w:r>
      <w:r>
        <w:rPr>
          <w:rFonts w:hint="eastAsia"/>
          <w:b/>
          <w:i/>
          <w:lang w:val="en-US"/>
        </w:rPr>
        <w:t>Tx</w:t>
      </w:r>
      <w:r>
        <w:rPr>
          <w:b/>
          <w:i/>
          <w:lang w:val="en-US"/>
        </w:rPr>
        <w:t xml:space="preserve"> in two operating bands.</w:t>
      </w:r>
    </w:p>
    <w:p w:rsidR="00F02722" w:rsidRDefault="00F02722" w:rsidP="00F02722">
      <w:pPr>
        <w:jc w:val="both"/>
        <w:rPr>
          <w:b/>
          <w:i/>
          <w:lang w:val="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If new MSD values are to be defined for 3Tx band combinations, separate tables should be considered in the specification.</w:t>
      </w:r>
    </w:p>
    <w:p w:rsidR="00F02722" w:rsidRDefault="00F02722" w:rsidP="00F02722">
      <w:pPr>
        <w:jc w:val="both"/>
        <w:rPr>
          <w:b/>
          <w:i/>
          <w:lang w:val="en-US"/>
        </w:rPr>
      </w:pPr>
      <w:r w:rsidRPr="005369EE">
        <w:rPr>
          <w:b/>
          <w:i/>
          <w:lang w:val="en-US" w:eastAsia="en-US"/>
        </w:rPr>
        <w:t xml:space="preserve">Proposal </w:t>
      </w:r>
      <w:r>
        <w:rPr>
          <w:b/>
          <w:i/>
          <w:lang w:val="en-US" w:eastAsia="en-US"/>
        </w:rPr>
        <w:t>3</w:t>
      </w:r>
      <w:r w:rsidRPr="005369EE">
        <w:rPr>
          <w:b/>
          <w:i/>
          <w:lang w:val="en-US" w:eastAsia="en-US"/>
        </w:rPr>
        <w:t>:</w:t>
      </w:r>
      <w:r>
        <w:rPr>
          <w:b/>
          <w:i/>
          <w:lang w:val="en-US" w:eastAsia="en-US"/>
        </w:rPr>
        <w:t xml:space="preserve"> Existing delta Tib and Rib values are also applicable for the two-band combination with 3Tx.</w:t>
      </w:r>
    </w:p>
    <w:p w:rsidR="00F02722" w:rsidRPr="00547DD9" w:rsidRDefault="00F02722" w:rsidP="00F02722">
      <w:pPr>
        <w:jc w:val="both"/>
        <w:rPr>
          <w:lang w:val="en-US"/>
        </w:rPr>
      </w:pPr>
      <w:r w:rsidRPr="005369EE">
        <w:rPr>
          <w:b/>
          <w:i/>
          <w:lang w:val="en-US" w:eastAsia="en-US"/>
        </w:rPr>
        <w:t xml:space="preserve">Proposal </w:t>
      </w:r>
      <w:r>
        <w:rPr>
          <w:b/>
          <w:i/>
          <w:lang w:val="en-US" w:eastAsia="en-US"/>
        </w:rPr>
        <w:t>4</w:t>
      </w:r>
      <w:r w:rsidRPr="005369EE">
        <w:rPr>
          <w:b/>
          <w:i/>
          <w:lang w:val="en-US" w:eastAsia="en-US"/>
        </w:rPr>
        <w:t>:</w:t>
      </w:r>
      <w:r>
        <w:rPr>
          <w:b/>
          <w:i/>
          <w:lang w:val="en-US" w:eastAsia="en-US"/>
        </w:rPr>
        <w:t xml:space="preserve"> No need to consider new UE capabilities for UE supporting 3Tx for two-band combinations.</w:t>
      </w:r>
    </w:p>
    <w:p w:rsidR="00F02722" w:rsidRPr="00F02722" w:rsidRDefault="00F02722" w:rsidP="00F02722">
      <w:pPr>
        <w:jc w:val="both"/>
        <w:rPr>
          <w:b/>
          <w:i/>
          <w:lang w:val="en-US"/>
        </w:rPr>
      </w:pPr>
    </w:p>
    <w:p w:rsidR="00B22DA6" w:rsidRDefault="00B22DA6" w:rsidP="006272FF">
      <w:pPr>
        <w:pStyle w:val="Heading1"/>
        <w:numPr>
          <w:ilvl w:val="0"/>
          <w:numId w:val="0"/>
        </w:numPr>
        <w:jc w:val="both"/>
        <w:rPr>
          <w:rFonts w:eastAsia="宋体"/>
          <w:lang w:eastAsia="zh-CN"/>
        </w:rPr>
      </w:pPr>
      <w:r>
        <w:lastRenderedPageBreak/>
        <w:t>References</w:t>
      </w:r>
    </w:p>
    <w:p w:rsidR="00C53757" w:rsidRDefault="0035262B" w:rsidP="006272FF">
      <w:pPr>
        <w:jc w:val="both"/>
        <w:rPr>
          <w:lang w:eastAsia="ja-JP"/>
        </w:rPr>
      </w:pPr>
      <w:r>
        <w:rPr>
          <w:rFonts w:hint="eastAsia"/>
        </w:rPr>
        <w:t>[1]</w:t>
      </w:r>
      <w:r w:rsidR="005369EE">
        <w:t xml:space="preserve"> </w:t>
      </w:r>
      <w:r w:rsidR="006813BB" w:rsidRPr="006813BB">
        <w:rPr>
          <w:lang w:eastAsia="ja-JP"/>
        </w:rPr>
        <w:t>R4-2303523</w:t>
      </w:r>
      <w:r w:rsidR="00355387">
        <w:rPr>
          <w:lang w:eastAsia="ja-JP"/>
        </w:rPr>
        <w:t xml:space="preserve">, </w:t>
      </w:r>
      <w:r w:rsidR="006813BB" w:rsidRPr="006813BB">
        <w:rPr>
          <w:lang w:eastAsia="ja-JP"/>
        </w:rPr>
        <w:t>WF on 3Tx requirements</w:t>
      </w:r>
      <w:r w:rsidR="00355387">
        <w:rPr>
          <w:lang w:eastAsia="ja-JP"/>
        </w:rPr>
        <w:t xml:space="preserve">, </w:t>
      </w:r>
      <w:r w:rsidR="006813BB">
        <w:rPr>
          <w:lang w:eastAsia="ja-JP"/>
        </w:rPr>
        <w:t>OPPO</w:t>
      </w:r>
    </w:p>
    <w:p w:rsidR="003C0390" w:rsidRPr="003C0390" w:rsidRDefault="003C0390" w:rsidP="006272FF">
      <w:pPr>
        <w:jc w:val="both"/>
        <w:rPr>
          <w:rFonts w:eastAsiaTheme="minorEastAsia"/>
        </w:rPr>
      </w:pPr>
      <w:r>
        <w:rPr>
          <w:rFonts w:eastAsiaTheme="minorEastAsia" w:hint="eastAsia"/>
        </w:rPr>
        <w:t>[</w:t>
      </w:r>
      <w:r>
        <w:rPr>
          <w:rFonts w:eastAsiaTheme="minorEastAsia"/>
        </w:rPr>
        <w:t xml:space="preserve">2] </w:t>
      </w:r>
      <w:r w:rsidRPr="003C0390">
        <w:rPr>
          <w:rFonts w:eastAsiaTheme="minorEastAsia"/>
        </w:rPr>
        <w:t>R4-2303457</w:t>
      </w:r>
      <w:r>
        <w:rPr>
          <w:rFonts w:eastAsiaTheme="minorEastAsia"/>
        </w:rPr>
        <w:t xml:space="preserve">, </w:t>
      </w:r>
      <w:r w:rsidR="00654E83" w:rsidRPr="00654E83">
        <w:rPr>
          <w:rFonts w:eastAsiaTheme="minorEastAsia"/>
        </w:rPr>
        <w:t>TP for TR 38.850 Addition of PC2 CA_n1A-n78A and CA_n3A-n78A with PC2 on FDD carrier</w:t>
      </w:r>
      <w:r w:rsidR="00654E83">
        <w:rPr>
          <w:rFonts w:eastAsiaTheme="minorEastAsia"/>
        </w:rPr>
        <w:t>, China Unicom</w:t>
      </w:r>
    </w:p>
    <w:p w:rsidR="00355387" w:rsidRDefault="00355387" w:rsidP="006272FF">
      <w:pPr>
        <w:jc w:val="both"/>
      </w:pPr>
    </w:p>
    <w:sectPr w:rsidR="00355387"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21C0" w:rsidRDefault="007E21C0" w:rsidP="0052762B">
      <w:r>
        <w:separator/>
      </w:r>
    </w:p>
  </w:endnote>
  <w:endnote w:type="continuationSeparator" w:id="0">
    <w:p w:rsidR="007E21C0" w:rsidRDefault="007E21C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21C0" w:rsidRDefault="007E21C0" w:rsidP="0052762B">
      <w:r>
        <w:separator/>
      </w:r>
    </w:p>
  </w:footnote>
  <w:footnote w:type="continuationSeparator" w:id="0">
    <w:p w:rsidR="007E21C0" w:rsidRDefault="007E21C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B4FF6"/>
    <w:multiLevelType w:val="hybridMultilevel"/>
    <w:tmpl w:val="9E743FFA"/>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EAE603A"/>
    <w:multiLevelType w:val="hybridMultilevel"/>
    <w:tmpl w:val="A074EAF4"/>
    <w:lvl w:ilvl="0" w:tplc="D9622F96">
      <w:numFmt w:val="bullet"/>
      <w:lvlText w:val="•"/>
      <w:lvlJc w:val="left"/>
      <w:pPr>
        <w:ind w:left="420" w:hanging="42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6"/>
  </w:num>
  <w:num w:numId="4">
    <w:abstractNumId w:val="9"/>
  </w:num>
  <w:num w:numId="5">
    <w:abstractNumId w:val="8"/>
  </w:num>
  <w:num w:numId="6">
    <w:abstractNumId w:val="3"/>
  </w:num>
  <w:num w:numId="7">
    <w:abstractNumId w:val="7"/>
  </w:num>
  <w:num w:numId="8">
    <w:abstractNumId w:val="10"/>
  </w:num>
  <w:num w:numId="9">
    <w:abstractNumId w:val="2"/>
  </w:num>
  <w:num w:numId="10">
    <w:abstractNumId w:val="5"/>
  </w:num>
  <w:num w:numId="1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4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AC"/>
    <w:rsid w:val="00072FAF"/>
    <w:rsid w:val="00073D2A"/>
    <w:rsid w:val="00073E14"/>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549"/>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6AB"/>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0C"/>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AC7"/>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390"/>
    <w:rsid w:val="003C04E9"/>
    <w:rsid w:val="003C0DDE"/>
    <w:rsid w:val="003C0EC4"/>
    <w:rsid w:val="003C0F07"/>
    <w:rsid w:val="003C1802"/>
    <w:rsid w:val="003C1B28"/>
    <w:rsid w:val="003C208B"/>
    <w:rsid w:val="003C2545"/>
    <w:rsid w:val="003C2BAB"/>
    <w:rsid w:val="003C381B"/>
    <w:rsid w:val="003C3A38"/>
    <w:rsid w:val="003C4061"/>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5CE"/>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89D"/>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A78"/>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D9"/>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87B"/>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4E83"/>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3BB"/>
    <w:rsid w:val="00681722"/>
    <w:rsid w:val="0068176D"/>
    <w:rsid w:val="00681965"/>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4F97"/>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024"/>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4B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6C54"/>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BA5"/>
    <w:rsid w:val="007D6E1E"/>
    <w:rsid w:val="007D726E"/>
    <w:rsid w:val="007D77FB"/>
    <w:rsid w:val="007E0487"/>
    <w:rsid w:val="007E0849"/>
    <w:rsid w:val="007E0C31"/>
    <w:rsid w:val="007E0DD3"/>
    <w:rsid w:val="007E179E"/>
    <w:rsid w:val="007E21C0"/>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179"/>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D7E2E"/>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3D39"/>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773"/>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97E"/>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81"/>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B5F"/>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37"/>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97EFE"/>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2F2E"/>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556"/>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75"/>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2D0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DC3"/>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0FF"/>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1E31"/>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129"/>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1B4"/>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5B"/>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65F"/>
    <w:rsid w:val="00EE08C0"/>
    <w:rsid w:val="00EE0F7E"/>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22"/>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856"/>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5DFE"/>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3FB"/>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106"/>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13E6E9"/>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2722"/>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6B082-6C29-4C01-9198-669D73D3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182</TotalTime>
  <Pages>5</Pages>
  <Words>1195</Words>
  <Characters>6813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28</cp:revision>
  <cp:lastPrinted>2010-01-07T02:23:00Z</cp:lastPrinted>
  <dcterms:created xsi:type="dcterms:W3CDTF">2023-04-10T03:16:00Z</dcterms:created>
  <dcterms:modified xsi:type="dcterms:W3CDTF">2023-04-10T14:14:00Z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(3)qIwuaGwSkqcAXwoT8F/+McLKf8fUGqx1BT5TupJPhTEKBKpoOzAbL4h5gob4/b7dOly/1lF5
AS6smYgfgUeAG1eYQSPoRsXNvqQIHd639piOt17tM2XiguthUZbikCHkBkoHKVc8XbB4KgQh
WwokQ7FH8Otxf1BzzOGVlMXUlVmLhaJeiJx1pkPqkqdUZh2igS1UCmfX9CaYPD3imSkJFZxE
AcF8TSaeUNl6yEF7lB</vt:lpwstr>
  </property>
  <property fmtid="{D5CDD505-2E9C-101B-9397-08002B2CF9AE}" pid="15" name="_2015_ms_pID_725343_00">
    <vt:lpwstr>_2015_ms_pID_725343</vt:lpwstr>
  </property>
  <property fmtid="{D5CDD505-2E9C-101B-9397-08002B2CF9AE}" pid="16" name="_2015_ms_pID_7253431">
    <vt:lpwstr>kUf6dxK3DkF+eTLear5xJzTpMS+gGbc/yQXIZ4fjkTEhcmPtC8RCVy
l+at1k546hhTw15FKNeOvA7AyVgrp97DLmHyWBdip8QyVoK2DZiSoflNXbwKhGl/1CsM6zxQ
0XZoo50SU35QCTEZDAg3ydxx5lRTSB6I5IaPEf7uMxwaUmWXY4JZNQOuXjTIsQFZk4uQtN2/
UZpZEl/S+8XzjaZ2ZuWrh7JvM3njexHYSy3P</vt:lpwstr>
  </property>
  <property fmtid="{D5CDD505-2E9C-101B-9397-08002B2CF9AE}" pid="17" name="_2015_ms_pID_7253431_00">
    <vt:lpwstr>_2015_ms_pID_7253431</vt:lpwstr>
  </property>
  <property fmtid="{D5CDD505-2E9C-101B-9397-08002B2CF9AE}" pid="18" name="_2015_ms_pID_7253432">
    <vt:lpwstr>Jnx6+LqLFP5OIAeZecqj/p8=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